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6" w:rsidRDefault="00750286" w:rsidP="00750286">
      <w:r>
        <w:t xml:space="preserve">                                                                                                                                                                     Приложение 1 к постановлению </w:t>
      </w:r>
    </w:p>
    <w:p w:rsidR="00750286" w:rsidRDefault="00750286" w:rsidP="00750286">
      <w:r>
        <w:t xml:space="preserve">                                                                                                                                                              администрации Ломовецкого </w:t>
      </w:r>
      <w:proofErr w:type="gramStart"/>
      <w:r>
        <w:t>сельского</w:t>
      </w:r>
      <w:proofErr w:type="gramEnd"/>
    </w:p>
    <w:p w:rsidR="00750286" w:rsidRDefault="00750286" w:rsidP="00750286">
      <w:r>
        <w:t xml:space="preserve">                                                                                                                                                            поселени</w:t>
      </w:r>
      <w:r w:rsidR="0034579E">
        <w:t>я от  25 февраля 2014 года №  4</w:t>
      </w:r>
    </w:p>
    <w:p w:rsidR="00750286" w:rsidRDefault="00750286" w:rsidP="00750286">
      <w:pPr>
        <w:rPr>
          <w:b/>
          <w:bCs/>
        </w:rPr>
      </w:pPr>
    </w:p>
    <w:p w:rsidR="00750286" w:rsidRDefault="00750286" w:rsidP="00750286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750286" w:rsidRDefault="00750286" w:rsidP="00750286">
      <w:pPr>
        <w:jc w:val="center"/>
        <w:rPr>
          <w:b/>
          <w:bCs/>
        </w:rPr>
      </w:pPr>
    </w:p>
    <w:p w:rsidR="00750286" w:rsidRDefault="00750286" w:rsidP="00750286">
      <w:pPr>
        <w:jc w:val="center"/>
        <w:rPr>
          <w:b/>
          <w:bCs/>
        </w:rPr>
      </w:pPr>
      <w:r>
        <w:rPr>
          <w:b/>
          <w:bCs/>
        </w:rPr>
        <w:t>основных  мероприятий   Ломовецкого  сельского  поселения по подготовке</w:t>
      </w:r>
    </w:p>
    <w:p w:rsidR="00750286" w:rsidRDefault="00750286" w:rsidP="00750286">
      <w:pPr>
        <w:jc w:val="center"/>
        <w:rPr>
          <w:b/>
          <w:bCs/>
        </w:rPr>
      </w:pPr>
      <w:r>
        <w:rPr>
          <w:b/>
          <w:bCs/>
        </w:rPr>
        <w:t xml:space="preserve">к пожароопасному  сезону  2014 года </w:t>
      </w:r>
    </w:p>
    <w:p w:rsidR="00750286" w:rsidRDefault="00750286" w:rsidP="00750286">
      <w:pPr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648"/>
        <w:gridCol w:w="7380"/>
        <w:gridCol w:w="3061"/>
        <w:gridCol w:w="3697"/>
      </w:tblGrid>
      <w:tr w:rsidR="00750286">
        <w:tc>
          <w:tcPr>
            <w:tcW w:w="648" w:type="dxa"/>
          </w:tcPr>
          <w:p w:rsidR="00750286" w:rsidRDefault="007502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380" w:type="dxa"/>
          </w:tcPr>
          <w:p w:rsidR="00750286" w:rsidRDefault="007502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 планируемых мероприятий</w:t>
            </w:r>
          </w:p>
        </w:tc>
        <w:tc>
          <w:tcPr>
            <w:tcW w:w="3061" w:type="dxa"/>
          </w:tcPr>
          <w:p w:rsidR="00750286" w:rsidRDefault="007502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  исполнитель</w:t>
            </w:r>
          </w:p>
        </w:tc>
        <w:tc>
          <w:tcPr>
            <w:tcW w:w="3697" w:type="dxa"/>
          </w:tcPr>
          <w:p w:rsidR="00750286" w:rsidRDefault="007502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</w:tbl>
    <w:p w:rsidR="00750286" w:rsidRDefault="00750286" w:rsidP="00750286">
      <w:pPr>
        <w:tabs>
          <w:tab w:val="left" w:pos="11100"/>
        </w:tabs>
        <w:jc w:val="center"/>
        <w:rPr>
          <w:b/>
          <w:bCs/>
        </w:rPr>
      </w:pPr>
      <w:r>
        <w:rPr>
          <w:b/>
          <w:bCs/>
        </w:rPr>
        <w:t>1 этап – Организация и проведение превентивных мероприятий</w:t>
      </w:r>
    </w:p>
    <w:p w:rsidR="00750286" w:rsidRDefault="00750286" w:rsidP="00750286">
      <w:pPr>
        <w:tabs>
          <w:tab w:val="left" w:pos="11100"/>
        </w:tabs>
        <w:jc w:val="center"/>
        <w:rPr>
          <w:b/>
          <w:bCs/>
        </w:rPr>
      </w:pPr>
      <w:r>
        <w:rPr>
          <w:b/>
          <w:bCs/>
        </w:rPr>
        <w:t>1. Планирование  мероприятий и организация взаимодействия по подготовке  к пожароопасному  периоду</w:t>
      </w:r>
    </w:p>
    <w:p w:rsidR="00750286" w:rsidRDefault="00750286" w:rsidP="00750286">
      <w:pPr>
        <w:tabs>
          <w:tab w:val="left" w:pos="11100"/>
        </w:tabs>
        <w:jc w:val="center"/>
        <w:rPr>
          <w:b/>
          <w:bCs/>
        </w:rPr>
      </w:pPr>
    </w:p>
    <w:p w:rsidR="00750286" w:rsidRDefault="00750286" w:rsidP="00750286">
      <w:pPr>
        <w:tabs>
          <w:tab w:val="left" w:pos="11100"/>
        </w:tabs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648"/>
        <w:gridCol w:w="7380"/>
        <w:gridCol w:w="3061"/>
        <w:gridCol w:w="3697"/>
      </w:tblGrid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Подготовка и проведение заседания КЧС и ПБ сельского  поселения по  подведению  ито</w:t>
            </w:r>
            <w:r w:rsidR="00955D96">
              <w:t>гов пожароопасного  периода 2013</w:t>
            </w:r>
            <w:r>
              <w:t xml:space="preserve"> года, определению задач и планированию мероприятий на предст</w:t>
            </w:r>
            <w:r w:rsidR="00955D96">
              <w:t>оящий пожароопасный  период 2014</w:t>
            </w:r>
            <w:r>
              <w:t xml:space="preserve"> года, утверждению состава оперативного  штаба по </w:t>
            </w:r>
            <w:proofErr w:type="gramStart"/>
            <w:r>
              <w:t>контролю за</w:t>
            </w:r>
            <w:proofErr w:type="gramEnd"/>
            <w:r>
              <w:t xml:space="preserve"> общей пожароопасной обстановкой и тушению  природных пожаров на территории  сельского  поселения.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 xml:space="preserve"> Председатель КЧС и ПБ сельского  поселения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 25.03. 2014 года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Планирование мер по усилению защищённости населённых пунктов и потенциально опасных объектов, находящихся в непосредственной близости от лесных  массивов, на  территории  сельского  поселения.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1  апреля 2014 г</w:t>
            </w:r>
          </w:p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</w:p>
        </w:tc>
      </w:tr>
      <w:tr w:rsidR="00750286">
        <w:tc>
          <w:tcPr>
            <w:tcW w:w="14786" w:type="dxa"/>
            <w:gridSpan w:val="4"/>
          </w:tcPr>
          <w:p w:rsidR="00750286" w:rsidRDefault="00750286">
            <w:pPr>
              <w:tabs>
                <w:tab w:val="left" w:pos="111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2. Превентивные мероприятия</w:t>
            </w:r>
          </w:p>
        </w:tc>
      </w:tr>
    </w:tbl>
    <w:p w:rsidR="00750286" w:rsidRDefault="00750286" w:rsidP="00750286">
      <w:pPr>
        <w:tabs>
          <w:tab w:val="left" w:pos="11100"/>
        </w:tabs>
      </w:pPr>
    </w:p>
    <w:p w:rsidR="00750286" w:rsidRDefault="00750286" w:rsidP="00750286">
      <w:pPr>
        <w:tabs>
          <w:tab w:val="left" w:pos="11100"/>
        </w:tabs>
      </w:pPr>
    </w:p>
    <w:p w:rsidR="00750286" w:rsidRDefault="00750286" w:rsidP="00750286">
      <w:pPr>
        <w:tabs>
          <w:tab w:val="left" w:pos="11100"/>
        </w:tabs>
      </w:pPr>
    </w:p>
    <w:p w:rsidR="00750286" w:rsidRDefault="00750286" w:rsidP="00750286">
      <w:pPr>
        <w:tabs>
          <w:tab w:val="left" w:pos="11100"/>
        </w:tabs>
      </w:pPr>
    </w:p>
    <w:tbl>
      <w:tblPr>
        <w:tblStyle w:val="a3"/>
        <w:tblW w:w="0" w:type="auto"/>
        <w:tblLook w:val="01E0"/>
      </w:tblPr>
      <w:tblGrid>
        <w:gridCol w:w="648"/>
        <w:gridCol w:w="7380"/>
        <w:gridCol w:w="3061"/>
        <w:gridCol w:w="3697"/>
      </w:tblGrid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Разработка и заблаговременная реализация противопожарных мероприятий по недопущению распространения  лесных и торфяных пожаров на строения, а также приведение в надлежащее  состояние противопожарного водоснабжения, проездов к зданиям, сооружениям и открытым  водоёмам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Комиссия по  ЧС и ПБ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01.05.2014 г.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 xml:space="preserve">Первоочередное обеспечение  населённых пунктов, попадающих в районы наибольшего  риска возникновения  пожаров, запасами воды и пожарного инвентаря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</w:t>
            </w:r>
            <w:proofErr w:type="spellStart"/>
            <w:r>
              <w:t>подворовым</w:t>
            </w:r>
            <w:proofErr w:type="spellEnd"/>
            <w:r>
              <w:t xml:space="preserve">  </w:t>
            </w:r>
            <w:proofErr w:type="spellStart"/>
            <w:r>
              <w:t>распеределением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КЧС и ПБ</w:t>
            </w:r>
          </w:p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01.05.2014 г.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Проведение опашки населённых пунктов и объектов экономики, находящихся в зонах возможных природных пожаров.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01.05.2014 г.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Обеспечение  на  пожароопасный период надёжными  средствами связи населённых пунктов, находящихся в зоне возможных природных пожаров и не имеющих проводных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01.05.2014 г.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 xml:space="preserve">Проведение комплекса мер по подготовке населения, проживающего в зоне возможных природных пожаров к экстренной эвакуации в </w:t>
            </w:r>
            <w:proofErr w:type="spellStart"/>
            <w:r>
              <w:t>безапасные</w:t>
            </w:r>
            <w:proofErr w:type="spellEnd"/>
            <w:r>
              <w:t xml:space="preserve"> районы и первоочередному жизнеобеспечению пострадавших. Доведение до населения сигналов оповещения.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До 01.05.2014 г.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Соблюдение правил  охраны электрических сетей высокого напряжения на трассах ЛЭП путём запрета складирования соломы  и горючих материалов ближе 30 метров от линий электропередач.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 xml:space="preserve"> Постоянно с</w:t>
            </w:r>
          </w:p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01.05.2014 г.</w:t>
            </w: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этап- Организация контроля за противопожарной обстановкой, предупреждение и ликвидация очагов  возгорания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</w:p>
        </w:tc>
      </w:tr>
      <w:tr w:rsidR="00750286">
        <w:tc>
          <w:tcPr>
            <w:tcW w:w="648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380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Организация локализации и тушения  лесных и торфяных пожаров на территории сельского  поселения.</w:t>
            </w:r>
          </w:p>
        </w:tc>
        <w:tc>
          <w:tcPr>
            <w:tcW w:w="3061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Канаев А.В.</w:t>
            </w:r>
          </w:p>
        </w:tc>
        <w:tc>
          <w:tcPr>
            <w:tcW w:w="3697" w:type="dxa"/>
          </w:tcPr>
          <w:p w:rsidR="00750286" w:rsidRDefault="00750286">
            <w:pPr>
              <w:tabs>
                <w:tab w:val="left" w:pos="11100"/>
              </w:tabs>
              <w:rPr>
                <w:sz w:val="24"/>
                <w:szCs w:val="24"/>
              </w:rPr>
            </w:pPr>
            <w:r>
              <w:t>При возникновении пожаров.</w:t>
            </w:r>
          </w:p>
        </w:tc>
      </w:tr>
    </w:tbl>
    <w:p w:rsidR="00750286" w:rsidRDefault="00750286" w:rsidP="00750286"/>
    <w:p w:rsidR="00750286" w:rsidRDefault="00750286"/>
    <w:sectPr w:rsidR="00750286" w:rsidSect="007502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50286"/>
    <w:rsid w:val="0034579E"/>
    <w:rsid w:val="005509EB"/>
    <w:rsid w:val="00750286"/>
    <w:rsid w:val="00955D96"/>
    <w:rsid w:val="00D0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8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28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3002</Characters>
  <Application>Microsoft Office Word</Application>
  <DocSecurity>0</DocSecurity>
  <Lines>25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2014-03-04T12:28:00Z</dcterms:created>
  <dcterms:modified xsi:type="dcterms:W3CDTF">2014-03-06T06:40:00Z</dcterms:modified>
</cp:coreProperties>
</file>