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jc w:val="center"/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РОССИЙСКАЯ  ФЕДЕРАЦИЯ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ОРЛОВСКАЯ  ОБЛАСТЬ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ТРОСНЯНСКИЙ  РАЙОН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АДМИНИСТРАЦИЯ  ЖЕРНОВЕЦКОГО  СЕЛЬСКОГО  ПОСЕЛЕНИЯ</w:t>
      </w:r>
    </w:p>
    <w:p w:rsidR="0085047D" w:rsidRPr="0085047D" w:rsidRDefault="0085047D" w:rsidP="0085047D">
      <w:pPr>
        <w:jc w:val="center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ПОСТАНОВЛЕНИЕ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от 28 июня  2016 г.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41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47D"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DE6CE2" w:rsidRPr="0085047D" w:rsidRDefault="00DE6CE2" w:rsidP="00850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Об утверждении Порядка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85047D" w:rsidRPr="0085047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5047D" w:rsidRPr="008504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047D">
        <w:rPr>
          <w:rFonts w:ascii="Arial" w:hAnsi="Arial" w:cs="Arial"/>
          <w:sz w:val="24"/>
          <w:szCs w:val="24"/>
        </w:rPr>
        <w:t>,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капитальные вложения</w:t>
      </w: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25 февраля 1999 года №39-ФЗ «Об инвестиционной деятельности в Российской Федерации, осуществляемой в форме капитальных вложений» администрация </w:t>
      </w:r>
      <w:proofErr w:type="spellStart"/>
      <w:r w:rsidR="0085047D" w:rsidRPr="0085047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5047D" w:rsidRPr="008504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ПОСТАНОВЛЯЕТ: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1. Утвердить Порядок проведения проверки инвестиционных проектов, финансирование которых планируется осуществлять полностью или частично за счет средств бюджета</w:t>
      </w:r>
      <w:r w:rsidR="0085047D" w:rsidRPr="00850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47D" w:rsidRPr="0085047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5047D" w:rsidRPr="0085047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85047D" w:rsidRPr="0085047D">
        <w:rPr>
          <w:rFonts w:ascii="Arial" w:hAnsi="Arial" w:cs="Arial"/>
          <w:sz w:val="24"/>
          <w:szCs w:val="24"/>
        </w:rPr>
        <w:t xml:space="preserve"> </w:t>
      </w:r>
      <w:r w:rsidRPr="0085047D">
        <w:rPr>
          <w:rFonts w:ascii="Arial" w:hAnsi="Arial" w:cs="Arial"/>
          <w:sz w:val="24"/>
          <w:szCs w:val="24"/>
        </w:rPr>
        <w:t>,</w:t>
      </w:r>
      <w:proofErr w:type="gramEnd"/>
      <w:r w:rsidRPr="0085047D">
        <w:rPr>
          <w:rFonts w:ascii="Arial" w:hAnsi="Arial" w:cs="Arial"/>
          <w:sz w:val="24"/>
          <w:szCs w:val="24"/>
        </w:rPr>
        <w:t xml:space="preserve">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</w:t>
      </w:r>
      <w:r w:rsidR="004F287E">
        <w:rPr>
          <w:rFonts w:ascii="Arial" w:hAnsi="Arial" w:cs="Arial"/>
          <w:sz w:val="24"/>
          <w:szCs w:val="24"/>
        </w:rPr>
        <w:t>альные вложени</w:t>
      </w:r>
      <w:proofErr w:type="gramStart"/>
      <w:r w:rsidR="004F287E">
        <w:rPr>
          <w:rFonts w:ascii="Arial" w:hAnsi="Arial" w:cs="Arial"/>
          <w:sz w:val="24"/>
          <w:szCs w:val="24"/>
        </w:rPr>
        <w:t>я(</w:t>
      </w:r>
      <w:proofErr w:type="gramEnd"/>
      <w:r w:rsidR="004F287E">
        <w:rPr>
          <w:rFonts w:ascii="Arial" w:hAnsi="Arial" w:cs="Arial"/>
          <w:sz w:val="24"/>
          <w:szCs w:val="24"/>
        </w:rPr>
        <w:t xml:space="preserve"> согласно приложению)</w:t>
      </w:r>
      <w:r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85047D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2</w:t>
      </w:r>
      <w:r w:rsidR="00DE6CE2" w:rsidRPr="0085047D">
        <w:rPr>
          <w:rFonts w:ascii="Arial" w:hAnsi="Arial" w:cs="Arial"/>
          <w:sz w:val="24"/>
          <w:szCs w:val="24"/>
        </w:rPr>
        <w:t>. Настоящее постановление</w:t>
      </w:r>
      <w:r w:rsidRPr="0085047D">
        <w:rPr>
          <w:rFonts w:ascii="Arial" w:hAnsi="Arial" w:cs="Arial"/>
          <w:sz w:val="24"/>
          <w:szCs w:val="24"/>
        </w:rPr>
        <w:t xml:space="preserve"> вступает в силу с момента обнародования</w:t>
      </w:r>
      <w:r w:rsidR="00DE6CE2"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Глава </w:t>
      </w:r>
      <w:r w:rsidR="0085047D" w:rsidRPr="0085047D">
        <w:rPr>
          <w:rFonts w:ascii="Arial" w:hAnsi="Arial" w:cs="Arial"/>
          <w:sz w:val="24"/>
          <w:szCs w:val="24"/>
        </w:rPr>
        <w:t>сельского поселения                                                       А.А.</w:t>
      </w:r>
      <w:proofErr w:type="gramStart"/>
      <w:r w:rsidR="0085047D" w:rsidRPr="0085047D">
        <w:rPr>
          <w:rFonts w:ascii="Arial" w:hAnsi="Arial" w:cs="Arial"/>
          <w:sz w:val="24"/>
          <w:szCs w:val="24"/>
        </w:rPr>
        <w:t>Луговой</w:t>
      </w:r>
      <w:proofErr w:type="gramEnd"/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4F287E" w:rsidRPr="00195E3D" w:rsidRDefault="004F287E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Приложение 1 к постановлению</w:t>
      </w:r>
    </w:p>
    <w:p w:rsidR="004F287E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Pr="00195E3D">
        <w:rPr>
          <w:rFonts w:ascii="Arial" w:hAnsi="Arial" w:cs="Arial"/>
          <w:sz w:val="24"/>
          <w:szCs w:val="24"/>
        </w:rPr>
        <w:t>Жерновецкого</w:t>
      </w:r>
      <w:proofErr w:type="spellEnd"/>
    </w:p>
    <w:p w:rsidR="009D2CE1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сельского поселения от 28.06.2016 №41</w:t>
      </w:r>
    </w:p>
    <w:p w:rsidR="004F287E" w:rsidRPr="00195E3D" w:rsidRDefault="004F287E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ПОРЯДОК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85047D" w:rsidRPr="00195E3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5047D" w:rsidRPr="00195E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95E3D">
        <w:rPr>
          <w:rFonts w:ascii="Arial" w:hAnsi="Arial" w:cs="Arial"/>
          <w:sz w:val="24"/>
          <w:szCs w:val="24"/>
        </w:rPr>
        <w:t>, на предмет эффективности использования средств бюджета района, направленных на капитальные вложения (далее – Порядок)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Общие положения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 </w:t>
      </w:r>
      <w:proofErr w:type="spellStart"/>
      <w:r w:rsidR="009D2CE1" w:rsidRPr="00195E3D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9D2CE1" w:rsidRPr="00195E3D">
        <w:rPr>
          <w:rFonts w:ascii="Arial" w:hAnsi="Arial" w:cs="Arial"/>
          <w:sz w:val="24"/>
          <w:szCs w:val="24"/>
        </w:rPr>
        <w:t xml:space="preserve"> сельского поселения (далее - бюджет поселения</w:t>
      </w:r>
      <w:r w:rsidRPr="00195E3D">
        <w:rPr>
          <w:rFonts w:ascii="Arial" w:hAnsi="Arial" w:cs="Arial"/>
          <w:sz w:val="24"/>
          <w:szCs w:val="24"/>
        </w:rPr>
        <w:t>), на предмет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капитальные вложения (далее - проверка инвестиционных проектов).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1.2.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</w:t>
      </w:r>
      <w:proofErr w:type="gramStart"/>
      <w:r w:rsidRPr="00195E3D">
        <w:rPr>
          <w:rFonts w:ascii="Arial" w:hAnsi="Arial" w:cs="Arial"/>
          <w:sz w:val="24"/>
          <w:szCs w:val="24"/>
        </w:rPr>
        <w:t>оценки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</w:t>
      </w:r>
      <w:proofErr w:type="gramEnd"/>
      <w:r w:rsidR="009D2CE1" w:rsidRPr="00195E3D">
        <w:rPr>
          <w:rFonts w:ascii="Arial" w:hAnsi="Arial" w:cs="Arial"/>
          <w:sz w:val="24"/>
          <w:szCs w:val="24"/>
        </w:rPr>
        <w:t xml:space="preserve">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Проверку инвестиционных проектов осуществляет</w:t>
      </w:r>
      <w:r w:rsidR="009D2CE1" w:rsidRPr="00195E3D">
        <w:rPr>
          <w:rFonts w:ascii="Arial" w:hAnsi="Arial" w:cs="Arial"/>
          <w:sz w:val="24"/>
          <w:szCs w:val="24"/>
        </w:rPr>
        <w:t xml:space="preserve"> администрация сельского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1.3. В настоящем Порядке под инициаторами инвестиционных проектов (далее - инициа</w:t>
      </w:r>
      <w:r w:rsidR="0070679F" w:rsidRPr="00195E3D">
        <w:rPr>
          <w:rFonts w:ascii="Arial" w:hAnsi="Arial" w:cs="Arial"/>
          <w:sz w:val="24"/>
          <w:szCs w:val="24"/>
        </w:rPr>
        <w:t>тор проекта) понимается  администрация</w:t>
      </w:r>
      <w:r w:rsidRPr="00195E3D">
        <w:rPr>
          <w:rFonts w:ascii="Arial" w:hAnsi="Arial" w:cs="Arial"/>
          <w:sz w:val="24"/>
          <w:szCs w:val="24"/>
        </w:rPr>
        <w:t xml:space="preserve"> </w:t>
      </w:r>
      <w:r w:rsidR="0070679F" w:rsidRPr="00195E3D">
        <w:rPr>
          <w:rFonts w:ascii="Arial" w:hAnsi="Arial" w:cs="Arial"/>
          <w:sz w:val="24"/>
          <w:szCs w:val="24"/>
        </w:rPr>
        <w:t>сельского поселения</w:t>
      </w:r>
      <w:r w:rsidRPr="00195E3D">
        <w:rPr>
          <w:rFonts w:ascii="Arial" w:hAnsi="Arial" w:cs="Arial"/>
          <w:sz w:val="24"/>
          <w:szCs w:val="24"/>
        </w:rPr>
        <w:t>,</w:t>
      </w:r>
      <w:r w:rsidR="0070679F" w:rsidRPr="00195E3D">
        <w:rPr>
          <w:rFonts w:ascii="Arial" w:hAnsi="Arial" w:cs="Arial"/>
          <w:sz w:val="24"/>
          <w:szCs w:val="24"/>
        </w:rPr>
        <w:t xml:space="preserve"> обеспечивающая</w:t>
      </w:r>
      <w:r w:rsidRPr="00195E3D">
        <w:rPr>
          <w:rFonts w:ascii="Arial" w:hAnsi="Arial" w:cs="Arial"/>
          <w:sz w:val="24"/>
          <w:szCs w:val="24"/>
        </w:rPr>
        <w:t xml:space="preserve"> реализацию п</w:t>
      </w:r>
      <w:r w:rsidR="0070679F" w:rsidRPr="00195E3D">
        <w:rPr>
          <w:rFonts w:ascii="Arial" w:hAnsi="Arial" w:cs="Arial"/>
          <w:sz w:val="24"/>
          <w:szCs w:val="24"/>
        </w:rPr>
        <w:t xml:space="preserve">олитики в сфере установленных </w:t>
      </w:r>
      <w:r w:rsidRPr="00195E3D">
        <w:rPr>
          <w:rFonts w:ascii="Arial" w:hAnsi="Arial" w:cs="Arial"/>
          <w:sz w:val="24"/>
          <w:szCs w:val="24"/>
        </w:rPr>
        <w:t xml:space="preserve"> полномочий.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1.4.Проверка инвестиционных проектов проводится для принятия в установленном порядке решения о предо</w:t>
      </w:r>
      <w:r w:rsidR="0070679F" w:rsidRPr="00195E3D">
        <w:rPr>
          <w:rFonts w:ascii="Arial" w:hAnsi="Arial" w:cs="Arial"/>
          <w:sz w:val="24"/>
          <w:szCs w:val="24"/>
        </w:rPr>
        <w:t>ставлении средств бюджета поселения</w:t>
      </w:r>
      <w:r w:rsidRPr="00195E3D">
        <w:rPr>
          <w:rFonts w:ascii="Arial" w:hAnsi="Arial" w:cs="Arial"/>
          <w:sz w:val="24"/>
          <w:szCs w:val="24"/>
        </w:rPr>
        <w:t>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1.4.1. для осуществления бюджетных инвестиций в объекты муниципальной собственности;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1.4.2. в виде субсидий бюджетным</w:t>
      </w:r>
      <w:r w:rsidR="0070679F" w:rsidRPr="00195E3D">
        <w:rPr>
          <w:rFonts w:ascii="Arial" w:hAnsi="Arial" w:cs="Arial"/>
          <w:sz w:val="24"/>
          <w:szCs w:val="24"/>
        </w:rPr>
        <w:t xml:space="preserve"> и автономным учреждениям поселения</w:t>
      </w:r>
      <w:r w:rsidRPr="00195E3D">
        <w:rPr>
          <w:rFonts w:ascii="Arial" w:hAnsi="Arial" w:cs="Arial"/>
          <w:sz w:val="24"/>
          <w:szCs w:val="24"/>
        </w:rPr>
        <w:t xml:space="preserve"> на осуществление указанными учреждениями и предприятиями капитальных вложений в объекты капитального строительства му</w:t>
      </w:r>
      <w:r w:rsidR="0070679F" w:rsidRPr="00195E3D">
        <w:rPr>
          <w:rFonts w:ascii="Arial" w:hAnsi="Arial" w:cs="Arial"/>
          <w:sz w:val="24"/>
          <w:szCs w:val="24"/>
        </w:rPr>
        <w:t>ниципальной собственности поселения</w:t>
      </w:r>
      <w:r w:rsidRPr="00195E3D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</w:t>
      </w:r>
      <w:r w:rsidR="0070679F" w:rsidRPr="00195E3D">
        <w:rPr>
          <w:rFonts w:ascii="Arial" w:hAnsi="Arial" w:cs="Arial"/>
          <w:sz w:val="24"/>
          <w:szCs w:val="24"/>
        </w:rPr>
        <w:t>ниципальную собственность поселения</w:t>
      </w:r>
      <w:r w:rsidRPr="00195E3D">
        <w:rPr>
          <w:rFonts w:ascii="Arial" w:hAnsi="Arial" w:cs="Arial"/>
          <w:sz w:val="24"/>
          <w:szCs w:val="24"/>
        </w:rPr>
        <w:t>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1.4.3. для осуществления бюджетных инвестиций юридическим лицам, не являющимся му</w:t>
      </w:r>
      <w:r w:rsidR="0070679F" w:rsidRPr="00195E3D">
        <w:rPr>
          <w:rFonts w:ascii="Arial" w:hAnsi="Arial" w:cs="Arial"/>
          <w:sz w:val="24"/>
          <w:szCs w:val="24"/>
        </w:rPr>
        <w:t xml:space="preserve">ниципальными учреждениями </w:t>
      </w:r>
      <w:r w:rsidRPr="00195E3D">
        <w:rPr>
          <w:rFonts w:ascii="Arial" w:hAnsi="Arial" w:cs="Arial"/>
          <w:sz w:val="24"/>
          <w:szCs w:val="24"/>
        </w:rPr>
        <w:t xml:space="preserve">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 Проверка инвестиционных проектов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2.1. Проверка инвестиционных проектов осуществляется уполномоченным органом в соответствии с Методикой оценки инвестиционных проектов на предмет эффективности использования направляемых на капитальные</w:t>
      </w:r>
      <w:r w:rsidR="0070679F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Методика) согласно приложению 1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2.2.Для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обращение инициатора проекта в уполномоченный орган о проведении проверки инвестиционного проекта;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 инвестиционного проекта согласно приложению 2 к настоящему Порядку;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 эффективности реализации инвестиционного проекта по форме согласно приложению 3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2.3. Документы, предусмотренные пунктом 2.2 настоящего Порядка, возвращаются уполномоченным органом инициатору проекта при наличии одного из следующих оснований: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2.2 настоящего Порядка;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2.4. После устранения оснований для возврата документов, предусмотренных пунктом 2.3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2.5. Уполномоченный орган в течение 14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бюджета района (далее - заключение) по форме согласно приложению 4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2.6. Показателем эффективности инвестиционного проекта является интегральная оценка.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свидетельствует об эффективности инвестиционного проекта и целесообразности его финансирования полностью или частичн</w:t>
      </w:r>
      <w:r w:rsidR="00A474F8" w:rsidRPr="00195E3D">
        <w:rPr>
          <w:rFonts w:ascii="Arial" w:hAnsi="Arial" w:cs="Arial"/>
          <w:sz w:val="24"/>
          <w:szCs w:val="24"/>
        </w:rPr>
        <w:t>о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95E3D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195E3D">
        <w:rPr>
          <w:rFonts w:ascii="Arial" w:hAnsi="Arial" w:cs="Arial"/>
          <w:sz w:val="24"/>
          <w:szCs w:val="24"/>
        </w:rPr>
        <w:t xml:space="preserve"> значения интегральной оценки предельного (минимального) значения интегральной оценки свидетельствует о неэффективности инвестиционного проекта и нецелесообразности его финансировани</w:t>
      </w:r>
      <w:r w:rsidR="00A474F8" w:rsidRPr="00195E3D">
        <w:rPr>
          <w:rFonts w:ascii="Arial" w:hAnsi="Arial" w:cs="Arial"/>
          <w:sz w:val="24"/>
          <w:szCs w:val="24"/>
        </w:rPr>
        <w:t>я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2.7. Результатом проведения проверки инвестиционного проекта является заключение, содержащее выводы об эффективности (положительное заключение) или неэффективности (отрицательное заключение)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2.8. Заключение является обязательным документом, необходимым для принятия решений, указанных в пункте 1.4 настоящего Порядка.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Повторная проверка инвестиционного проекта в соответствии с настоящим Порядком проводится в случае увеличения сметной стоимости (предполагаемой (предельной) сметной стоимости) объекта капитального </w:t>
      </w:r>
      <w:r w:rsidRPr="00195E3D">
        <w:rPr>
          <w:rFonts w:ascii="Arial" w:hAnsi="Arial" w:cs="Arial"/>
          <w:sz w:val="24"/>
          <w:szCs w:val="24"/>
        </w:rPr>
        <w:lastRenderedPageBreak/>
        <w:t>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DE6CE2" w:rsidRPr="00195E3D" w:rsidTr="00DE6CE2">
        <w:trPr>
          <w:tblCellSpacing w:w="0" w:type="dxa"/>
          <w:jc w:val="right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20345A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Приложение  № 1</w:t>
            </w:r>
          </w:p>
          <w:p w:rsidR="00DE6CE2" w:rsidRPr="00195E3D" w:rsidRDefault="00DE6CE2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МЕТОДИКА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ОЦЕНКИ ИНВЕСТИЦИОННЫХ ПРОЕКТОВ НА ПРЕДМЕТ ЭФФЕКТИВНОСТИ ИСПОЛЬЗОВАНИЯ НАПРАВЛЯЕМЫХ </w:t>
      </w:r>
      <w:proofErr w:type="gramStart"/>
      <w:r w:rsidRPr="00195E3D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КАПИТАЛЬНЫЕ ВЛОЖЕНИЯ СРЕДСТВ БЮДЖЕТА </w:t>
      </w:r>
      <w:r w:rsidR="0020345A" w:rsidRPr="00195E3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(далее - Методика)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1.Настоящая Методика предназначена для оценки эффективности инвестиционных проектов, финансируемых полностью или частичн</w:t>
      </w:r>
      <w:r w:rsidR="0020345A" w:rsidRPr="00195E3D">
        <w:rPr>
          <w:rFonts w:ascii="Arial" w:hAnsi="Arial" w:cs="Arial"/>
          <w:sz w:val="24"/>
          <w:szCs w:val="24"/>
        </w:rPr>
        <w:t>о за счет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2.Показателем эффективности инвестиционного проекта является интегральная оценка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3.Интегральная оценка (</w:t>
      </w:r>
      <w:proofErr w:type="spellStart"/>
      <w:r w:rsidRPr="00195E3D">
        <w:rPr>
          <w:rFonts w:ascii="Arial" w:hAnsi="Arial" w:cs="Arial"/>
          <w:sz w:val="24"/>
          <w:szCs w:val="24"/>
        </w:rPr>
        <w:t>Эинт</w:t>
      </w:r>
      <w:proofErr w:type="spellEnd"/>
      <w:r w:rsidRPr="00195E3D">
        <w:rPr>
          <w:rFonts w:ascii="Arial" w:hAnsi="Arial" w:cs="Arial"/>
          <w:sz w:val="24"/>
          <w:szCs w:val="24"/>
        </w:rPr>
        <w:t>) рассчитывается по формуле: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1-й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2-й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3-й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4-й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4-й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- значение градации критерия оценки 4-й группы;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5-й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n – номер критерия оценки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4.Каждый критерий оценки имеет несколько градаций. Каждой градации соответствует определенное количество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Градации и значения градаций критериев оценки в баллах указаны в приложении к Методике. Выбор градации критерия оценки производится на основе соответствия инвестиционного проекта одной из градаций.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Величина значения градаций критерия оценки в баллах находится в диапазоне от 0 до 100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5.Расчет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 xml:space="preserve">6.Расчет значения каждой группы критериев оценки производится путем умножения </w:t>
      </w:r>
      <w:proofErr w:type="gramStart"/>
      <w:r w:rsidRPr="00195E3D">
        <w:rPr>
          <w:rFonts w:ascii="Arial" w:hAnsi="Arial" w:cs="Arial"/>
          <w:sz w:val="24"/>
          <w:szCs w:val="24"/>
        </w:rPr>
        <w:t>коэффициента значимости группы критериев оценки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сумму значений каждого критерия оценки, рассчитанных в соответствии с пунктом 5 настоящей Методики.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7.Коэффициент значимости соответствующей группы критериев оценки определяется согласно приложению к Методике.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8.Интегральная оценка определяется как сумма значений каждой группы критериев оценки.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9.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70"/>
      </w:tblGrid>
      <w:tr w:rsidR="00DE6CE2" w:rsidRPr="00195E3D" w:rsidTr="00DE6CE2">
        <w:trPr>
          <w:tblCellSpacing w:w="0" w:type="dxa"/>
          <w:jc w:val="right"/>
        </w:trPr>
        <w:tc>
          <w:tcPr>
            <w:tcW w:w="4470" w:type="dxa"/>
            <w:hideMark/>
          </w:tcPr>
          <w:p w:rsidR="00DE6CE2" w:rsidRPr="00195E3D" w:rsidRDefault="00DE6CE2" w:rsidP="0020345A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20345A" w:rsidRPr="00195E3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Методике</w:t>
            </w:r>
          </w:p>
        </w:tc>
      </w:tr>
    </w:tbl>
    <w:p w:rsidR="00DE6CE2" w:rsidRPr="00195E3D" w:rsidRDefault="0020345A" w:rsidP="002034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 </w:t>
      </w:r>
      <w:r w:rsidR="00DE6CE2"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Градации и значения</w:t>
      </w:r>
    </w:p>
    <w:p w:rsidR="00DE6CE2" w:rsidRPr="00195E3D" w:rsidRDefault="00DE6CE2" w:rsidP="00DE6C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критериев оценки эффективности инвестиционных проектов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3"/>
        <w:gridCol w:w="1603"/>
        <w:gridCol w:w="2566"/>
        <w:gridCol w:w="1603"/>
        <w:gridCol w:w="2021"/>
        <w:gridCol w:w="1100"/>
      </w:tblGrid>
      <w:tr w:rsidR="00DE6CE2" w:rsidRPr="00195E3D" w:rsidTr="00DE6CE2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группы и номера критериев оценки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 значимости группы критериев оценки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значимости критерия оценки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Градация критериев оценки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градации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критерия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оценки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баллах (</w:t>
            </w:r>
            <w:proofErr w:type="gramEnd"/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1.Приоритетность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инвестиционного проекта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четко сформулирована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1.2.Реализация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проекта в соответствии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мероприятиями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1.3.Сфера реализации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прочие сферы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2.Социальная эффективность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2.1.Необходимость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2.2.Дефицит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2.3.Дефицит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населению услуг на той территории,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где планируется реализация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2.4.Наличие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потребителей услуг на той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территории, где планируется к реализации инвестиционный проект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2.5.Целевая группа потребителей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 и подростки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пенсионеры, инвалиды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услуга населению не оказывается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2.6. Создание новых рабочих мест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3.Бюждетная эффективность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3.1.Отношение превышения общего объема налоговых поступлений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в консолидируемый бюджет поселения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 с года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 1 и более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0,5 до 1 (не включительно)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 до 0,5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4.Изменения количества и качества предоставляемых услуг населению в результате реализации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4.1.Изменение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соответствующей территории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соответствующей территории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объем услуги на прежнем уровне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4.2.Повышение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4.3.Использование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4.4.Возможность оказания населению услуг иными организациями на той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территории, где планируется реализация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5.Ограничения и риски при реализации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 частично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5.3.Риск ограниченности ресурсов, необходимых для реализации инвестиционного проекта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</w:tblGrid>
      <w:tr w:rsidR="00DE6CE2" w:rsidRPr="00195E3D" w:rsidTr="00DE6CE2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1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Основные параметры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2908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Таблица 2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Показатели продолжительности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реализации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2"/>
        <w:gridCol w:w="2952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ввода объекта в эксплуатацию, в том числе &lt;1&gt;: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3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Технологическая структура капитальных вложений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4"/>
        <w:gridCol w:w="2960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работ и материалов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Сметная стоимость, включая НДС, в текущих ценах, млн. руб.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прочие затраты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объектов недвижимого имущества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проекта-аналога &lt;2&gt;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4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Источники и объемы финансирования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2953"/>
        <w:gridCol w:w="2354"/>
        <w:gridCol w:w="2434"/>
      </w:tblGrid>
      <w:tr w:rsidR="00DE6CE2" w:rsidRPr="00195E3D" w:rsidTr="00DE6CE2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(в текущих ценах/в ценах соответствующих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средства районного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(в текущих ценах/ в ценах</w:t>
            </w:r>
            <w:proofErr w:type="gramEnd"/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B0320" w:rsidRPr="00195E3D" w:rsidRDefault="000B032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0" w:rsidRPr="00195E3D" w:rsidRDefault="000B0320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195E3D">
        <w:rPr>
          <w:rFonts w:ascii="Arial" w:hAnsi="Arial" w:cs="Arial"/>
          <w:sz w:val="24"/>
          <w:szCs w:val="24"/>
        </w:rPr>
        <w:t>Форма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эффективности реализации инвестиционного проекта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(далее – проект)</w:t>
      </w:r>
    </w:p>
    <w:bookmarkEnd w:id="0"/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8"/>
        <w:gridCol w:w="4866"/>
      </w:tblGrid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Данные по проекту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softHyphen/>
              <w:t>-экономического развития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1.2. Реализация проекта в соответствии с мероприятиями муниципальной программы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наименование муниципаль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в рамках которой планируется реализация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 Сфера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сфера деятельности, в которой реализуется проект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СОЦИАЛЬНАЯ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 Наличие дефицита предоставляемых населению услуг в той сфере, в которой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обеспеченность населения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2.3. Наличие дефицита предоставляемых населению услу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г на территории поселения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 обеспеченность населения сельского поселения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 в сравнении с аналогичными показателями по району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2.4. 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данные о количестве потенциальных потребителей услуги в сфере реализации инвестиционного проекта на терри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тории сельского поселения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где планируется реализация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инвестиционного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2.5. Целевая группа потребителей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дети, подростки;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охват населения данной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2.6. Создание новых рабочих мест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БЮДЖЕТНАЯ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Отношение превышения общего объема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с года 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производится расчет бюджетной эффективности инвестиционного проекта по формуле: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Tpdr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 xml:space="preserve"> - превышение общего объема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n-й период начиная с года предоставления бюджетных ассигнований над общим объемом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 на реализацию проекта (при расчете указанного значения учитываются поступления в 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>по налогу на имущество организаций, налогу на прибыль организаций, налогу на доходы физических лиц, транспортному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налогу, земельному налогу);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 - равно 5 годам начиная с года предоставления бюджетных ассигнований на реализацию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S - общий объем бюджетных ассигнований на реализацию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 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4.2. Повышение качества и доступности предоставляемых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характеристики, определяющие повышение качества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предоставляемой населению услуги и обеспечивающие ее доступность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  <w:proofErr w:type="gramEnd"/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государственные, муниципальные и частные организации, расположенные на территории сельского поселения района, которые оказывают населению аналогичную услугу, с их примерными объемами (мощностями)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ОГРАНИЧЕНИЯ И РИСКИ ПРИ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 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имеющиеся мощности объектов инженерной инфраструктуры, в том числе наличие: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1.Транспортной инфраструктуры: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автомобильных дорог с их техническими характеристиками (твердое, грунтовое покрытие и т.д.);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железнодорожного сообщения;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маршрутов транспорта общего пользования для перевозки пассажиров.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2.Объектов водопользования.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3.Объектов водоотведения.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4.Объектов энергетики.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5.Объектов </w:t>
            </w:r>
            <w:proofErr w:type="spellStart"/>
            <w:r w:rsidRPr="00195E3D">
              <w:rPr>
                <w:rFonts w:ascii="Arial" w:hAnsi="Arial" w:cs="Arial"/>
                <w:sz w:val="24"/>
                <w:szCs w:val="24"/>
              </w:rPr>
              <w:t>теплообеспечения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газовых сетей;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газе;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другом виде топлива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 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состояние объекта, в котором предоставляется услуга населению, с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DE6CE2" w:rsidRPr="00195E3D" w:rsidRDefault="00DE6CE2" w:rsidP="00D624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отклонение от принятых нормативов обеспеченности (при наличии) 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достаточность высококвалифицированных кадровых ресурсов, необходимых для реализации проекта; возможность устойчивого обеспечения материальными ресурсами;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наличие финансовых ресурсов, достаточных для реализации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предварительного согласия по отводу земельного участка</w:t>
            </w:r>
          </w:p>
        </w:tc>
      </w:tr>
    </w:tbl>
    <w:p w:rsidR="00DE6CE2" w:rsidRPr="00195E3D" w:rsidRDefault="00DE6CE2" w:rsidP="00195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Приложение 4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Форма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ЗАКЛЮЧЕНИЕ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 результатах проверки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на предмет эффективности использования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5E3D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капитальные вложения</w:t>
      </w:r>
    </w:p>
    <w:p w:rsidR="00DE6CE2" w:rsidRPr="00195E3D" w:rsidRDefault="00D624F9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средств бюджета 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1.Сведения об инвестиционном проекте, представленном для проведения проверки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согласно паспорту инвестиционного проекта:__________________________________________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инициатор проекта:_____________________________________________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Срок реализации инвестиционного проекта:____________________________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5E3D">
        <w:rPr>
          <w:rFonts w:ascii="Arial" w:hAnsi="Arial" w:cs="Arial"/>
          <w:sz w:val="24"/>
          <w:szCs w:val="24"/>
        </w:rPr>
        <w:t>Сметная стоимость инвестиционного проекта (предполагаемая (предельная)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стоимость инвестиционного проекта), млн. рублей_____________________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(в ценах соответствующих лет реализации инвестиционного проекта), в том числе требуемый для реализации инвестиционного проекта объем финансирования за счет средств бюджета района____________ (млн. рублей).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Реквизиты комплекта документов, представленных инициатором проекта: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регистрационный номер_____________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дата______________________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2.Значение интегральной оценки эффективности использования средств</w:t>
      </w:r>
    </w:p>
    <w:p w:rsidR="00DE6CE2" w:rsidRPr="00195E3D" w:rsidRDefault="00D624F9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бюджета поселения</w:t>
      </w:r>
      <w:r w:rsidR="00DE6CE2" w:rsidRPr="00195E3D">
        <w:rPr>
          <w:rFonts w:ascii="Arial" w:hAnsi="Arial" w:cs="Arial"/>
          <w:sz w:val="24"/>
          <w:szCs w:val="24"/>
        </w:rPr>
        <w:t>, направляемых на капитальные вложения, ___________баллов.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3.Заключение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(эффективен/неэффективен инвестиционный проект):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Замечания и предложения (при отрицательном заключении)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31C26" w:rsidRPr="00195E3D" w:rsidRDefault="00231C26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31C26" w:rsidRPr="00195E3D" w:rsidSect="00DE6CE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400"/>
    <w:multiLevelType w:val="multilevel"/>
    <w:tmpl w:val="814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C0"/>
    <w:rsid w:val="000B0320"/>
    <w:rsid w:val="00195E3D"/>
    <w:rsid w:val="002004AB"/>
    <w:rsid w:val="0020345A"/>
    <w:rsid w:val="00231C26"/>
    <w:rsid w:val="003C3659"/>
    <w:rsid w:val="003D2BB8"/>
    <w:rsid w:val="00442A8A"/>
    <w:rsid w:val="004F287E"/>
    <w:rsid w:val="006352B2"/>
    <w:rsid w:val="0070679F"/>
    <w:rsid w:val="0085047D"/>
    <w:rsid w:val="009D2CE1"/>
    <w:rsid w:val="00A474F8"/>
    <w:rsid w:val="00CF2CC0"/>
    <w:rsid w:val="00D624F9"/>
    <w:rsid w:val="00D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B"/>
  </w:style>
  <w:style w:type="paragraph" w:styleId="1">
    <w:name w:val="heading 1"/>
    <w:basedOn w:val="a"/>
    <w:link w:val="10"/>
    <w:uiPriority w:val="9"/>
    <w:qFormat/>
    <w:rsid w:val="00DE6C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E6CE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CE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E6CE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6CE2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6CE2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E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E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E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CE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C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E6CE2"/>
    <w:rPr>
      <w:color w:val="0033FF"/>
      <w:u w:val="single"/>
    </w:rPr>
  </w:style>
  <w:style w:type="character" w:styleId="a4">
    <w:name w:val="FollowedHyperlink"/>
    <w:basedOn w:val="a0"/>
    <w:uiPriority w:val="99"/>
    <w:semiHidden/>
    <w:unhideWhenUsed/>
    <w:rsid w:val="00DE6CE2"/>
    <w:rPr>
      <w:color w:val="0033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6CE2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CE2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DE6CE2"/>
    <w:rPr>
      <w:b/>
      <w:bCs/>
    </w:rPr>
  </w:style>
  <w:style w:type="paragraph" w:styleId="a6">
    <w:name w:val="Normal (Web)"/>
    <w:basedOn w:val="a"/>
    <w:uiPriority w:val="99"/>
    <w:unhideWhenUsed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E6CE2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ranslatetranslate">
    <w:name w:val="translate_translate"/>
    <w:basedOn w:val="a"/>
    <w:rsid w:val="00DE6CE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oading">
    <w:name w:val="translate_loading"/>
    <w:basedOn w:val="a"/>
    <w:rsid w:val="00DE6C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inks">
    <w:name w:val="translate_links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wo">
    <w:name w:val="worldcont_two"/>
    <w:basedOn w:val="a"/>
    <w:rsid w:val="00DE6CE2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hree">
    <w:name w:val="worldcont_three"/>
    <w:basedOn w:val="a"/>
    <w:rsid w:val="00DE6CE2"/>
    <w:pPr>
      <w:spacing w:before="75"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able">
    <w:name w:val="top_table"/>
    <w:basedOn w:val="a"/>
    <w:rsid w:val="00DE6CE2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E6CE2"/>
    <w:pPr>
      <w:spacing w:before="240" w:after="240" w:line="31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DE6CE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DE6CE2"/>
    <w:pPr>
      <w:spacing w:after="150" w:line="240" w:lineRule="auto"/>
      <w:jc w:val="center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DE6CE2"/>
    <w:pPr>
      <w:pBdr>
        <w:top w:val="single" w:sz="6" w:space="2" w:color="0033FF"/>
        <w:left w:val="single" w:sz="6" w:space="4" w:color="0033FF"/>
        <w:bottom w:val="single" w:sz="6" w:space="2" w:color="0033FF"/>
        <w:right w:val="single" w:sz="6" w:space="4" w:color="0033FF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code">
    <w:name w:val="code"/>
    <w:basedOn w:val="a"/>
    <w:rsid w:val="00DE6CE2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DE6CE2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E6CE2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DE6CE2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E6CE2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legend-title">
    <w:name w:val="legend-title"/>
    <w:basedOn w:val="a"/>
    <w:rsid w:val="00DE6C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E6CE2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E6CE2"/>
    <w:pPr>
      <w:shd w:val="clear" w:color="auto" w:fill="4095E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DE6CE2"/>
    <w:pPr>
      <w:pBdr>
        <w:top w:val="single" w:sz="6" w:space="0" w:color="DDDDDD"/>
      </w:pBdr>
      <w:shd w:val="clear" w:color="auto" w:fill="F7F7F7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DE6CE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E6CE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name">
    <w:name w:val="calend_nam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9900"/>
      <w:sz w:val="20"/>
      <w:szCs w:val="20"/>
      <w:lang w:eastAsia="ru-RU"/>
    </w:rPr>
  </w:style>
  <w:style w:type="paragraph" w:customStyle="1" w:styleId="translateflag">
    <w:name w:val="translate_fla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">
    <w:name w:val="google_brandin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E6CE2"/>
  </w:style>
  <w:style w:type="character" w:customStyle="1" w:styleId="close">
    <w:name w:val="close"/>
    <w:basedOn w:val="a0"/>
    <w:rsid w:val="00DE6CE2"/>
  </w:style>
  <w:style w:type="character" w:customStyle="1" w:styleId="open-quote">
    <w:name w:val="open-quote"/>
    <w:basedOn w:val="a0"/>
    <w:rsid w:val="00DE6CE2"/>
  </w:style>
  <w:style w:type="character" w:customStyle="1" w:styleId="close-quote">
    <w:name w:val="close-quote"/>
    <w:basedOn w:val="a0"/>
    <w:rsid w:val="00DE6CE2"/>
  </w:style>
  <w:style w:type="character" w:customStyle="1" w:styleId="author">
    <w:name w:val="author"/>
    <w:basedOn w:val="a0"/>
    <w:rsid w:val="00DE6CE2"/>
  </w:style>
  <w:style w:type="character" w:customStyle="1" w:styleId="twoageent">
    <w:name w:val="twoageent"/>
    <w:basedOn w:val="a0"/>
    <w:rsid w:val="00DE6CE2"/>
  </w:style>
  <w:style w:type="paragraph" w:customStyle="1" w:styleId="translateflag1">
    <w:name w:val="translate_flag1"/>
    <w:basedOn w:val="a"/>
    <w:rsid w:val="00DE6C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1">
    <w:name w:val="google_branding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woageent1">
    <w:name w:val="twoageent1"/>
    <w:basedOn w:val="a0"/>
    <w:rsid w:val="00DE6CE2"/>
    <w:rPr>
      <w:color w:val="FF3300"/>
    </w:rPr>
  </w:style>
  <w:style w:type="character" w:customStyle="1" w:styleId="twoageent2">
    <w:name w:val="twoageent2"/>
    <w:basedOn w:val="a0"/>
    <w:rsid w:val="00DE6CE2"/>
    <w:rPr>
      <w:color w:val="FF3300"/>
    </w:rPr>
  </w:style>
  <w:style w:type="paragraph" w:customStyle="1" w:styleId="image1">
    <w:name w:val="imag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DE6CE2"/>
  </w:style>
  <w:style w:type="character" w:customStyle="1" w:styleId="close1">
    <w:name w:val="close1"/>
    <w:basedOn w:val="a0"/>
    <w:rsid w:val="00DE6CE2"/>
  </w:style>
  <w:style w:type="character" w:customStyle="1" w:styleId="open-quote1">
    <w:name w:val="open-quote1"/>
    <w:basedOn w:val="a0"/>
    <w:rsid w:val="00DE6CE2"/>
  </w:style>
  <w:style w:type="character" w:customStyle="1" w:styleId="close-quote1">
    <w:name w:val="close-quote1"/>
    <w:basedOn w:val="a0"/>
    <w:rsid w:val="00DE6CE2"/>
  </w:style>
  <w:style w:type="character" w:customStyle="1" w:styleId="author1">
    <w:name w:val="author1"/>
    <w:basedOn w:val="a0"/>
    <w:rsid w:val="00DE6CE2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DE6CE2"/>
    <w:rPr>
      <w:b/>
      <w:bCs/>
    </w:rPr>
  </w:style>
  <w:style w:type="character" w:customStyle="1" w:styleId="author3">
    <w:name w:val="author3"/>
    <w:basedOn w:val="a0"/>
    <w:rsid w:val="00DE6CE2"/>
    <w:rPr>
      <w:b/>
      <w:bCs/>
    </w:rPr>
  </w:style>
  <w:style w:type="character" w:customStyle="1" w:styleId="author4">
    <w:name w:val="author4"/>
    <w:basedOn w:val="a0"/>
    <w:rsid w:val="00DE6CE2"/>
    <w:rPr>
      <w:b/>
      <w:bCs/>
    </w:rPr>
  </w:style>
  <w:style w:type="character" w:customStyle="1" w:styleId="author5">
    <w:name w:val="author5"/>
    <w:basedOn w:val="a0"/>
    <w:rsid w:val="00DE6CE2"/>
    <w:rPr>
      <w:b/>
      <w:bCs/>
    </w:rPr>
  </w:style>
  <w:style w:type="paragraph" w:customStyle="1" w:styleId="contentheading1">
    <w:name w:val="contentheading1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DE6CE2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CC"/>
      <w:spacing w:before="240" w:after="240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articleseparator1">
    <w:name w:val="article_separator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6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C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E6CE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CE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E6CE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6CE2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6CE2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E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E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E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CE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C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E6CE2"/>
    <w:rPr>
      <w:color w:val="0033FF"/>
      <w:u w:val="single"/>
    </w:rPr>
  </w:style>
  <w:style w:type="character" w:styleId="a4">
    <w:name w:val="FollowedHyperlink"/>
    <w:basedOn w:val="a0"/>
    <w:uiPriority w:val="99"/>
    <w:semiHidden/>
    <w:unhideWhenUsed/>
    <w:rsid w:val="00DE6CE2"/>
    <w:rPr>
      <w:color w:val="0033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6CE2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CE2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DE6CE2"/>
    <w:rPr>
      <w:b/>
      <w:bCs/>
    </w:rPr>
  </w:style>
  <w:style w:type="paragraph" w:styleId="a6">
    <w:name w:val="Normal (Web)"/>
    <w:basedOn w:val="a"/>
    <w:uiPriority w:val="99"/>
    <w:unhideWhenUsed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E6CE2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ranslatetranslate">
    <w:name w:val="translate_translate"/>
    <w:basedOn w:val="a"/>
    <w:rsid w:val="00DE6CE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oading">
    <w:name w:val="translate_loading"/>
    <w:basedOn w:val="a"/>
    <w:rsid w:val="00DE6C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inks">
    <w:name w:val="translate_links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wo">
    <w:name w:val="worldcont_two"/>
    <w:basedOn w:val="a"/>
    <w:rsid w:val="00DE6CE2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hree">
    <w:name w:val="worldcont_three"/>
    <w:basedOn w:val="a"/>
    <w:rsid w:val="00DE6CE2"/>
    <w:pPr>
      <w:spacing w:before="75"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able">
    <w:name w:val="top_table"/>
    <w:basedOn w:val="a"/>
    <w:rsid w:val="00DE6CE2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E6CE2"/>
    <w:pPr>
      <w:spacing w:before="240" w:after="240" w:line="31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DE6CE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DE6CE2"/>
    <w:pPr>
      <w:spacing w:after="150" w:line="240" w:lineRule="auto"/>
      <w:jc w:val="center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DE6CE2"/>
    <w:pPr>
      <w:pBdr>
        <w:top w:val="single" w:sz="6" w:space="2" w:color="0033FF"/>
        <w:left w:val="single" w:sz="6" w:space="4" w:color="0033FF"/>
        <w:bottom w:val="single" w:sz="6" w:space="2" w:color="0033FF"/>
        <w:right w:val="single" w:sz="6" w:space="4" w:color="0033FF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code">
    <w:name w:val="code"/>
    <w:basedOn w:val="a"/>
    <w:rsid w:val="00DE6CE2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DE6CE2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E6CE2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DE6CE2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E6CE2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legend-title">
    <w:name w:val="legend-title"/>
    <w:basedOn w:val="a"/>
    <w:rsid w:val="00DE6C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E6CE2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E6CE2"/>
    <w:pPr>
      <w:shd w:val="clear" w:color="auto" w:fill="4095E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DE6CE2"/>
    <w:pPr>
      <w:pBdr>
        <w:top w:val="single" w:sz="6" w:space="0" w:color="DDDDDD"/>
      </w:pBdr>
      <w:shd w:val="clear" w:color="auto" w:fill="F7F7F7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DE6CE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E6CE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name">
    <w:name w:val="calend_nam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9900"/>
      <w:sz w:val="20"/>
      <w:szCs w:val="20"/>
      <w:lang w:eastAsia="ru-RU"/>
    </w:rPr>
  </w:style>
  <w:style w:type="paragraph" w:customStyle="1" w:styleId="translateflag">
    <w:name w:val="translate_fla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">
    <w:name w:val="google_brandin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E6CE2"/>
  </w:style>
  <w:style w:type="character" w:customStyle="1" w:styleId="close">
    <w:name w:val="close"/>
    <w:basedOn w:val="a0"/>
    <w:rsid w:val="00DE6CE2"/>
  </w:style>
  <w:style w:type="character" w:customStyle="1" w:styleId="open-quote">
    <w:name w:val="open-quote"/>
    <w:basedOn w:val="a0"/>
    <w:rsid w:val="00DE6CE2"/>
  </w:style>
  <w:style w:type="character" w:customStyle="1" w:styleId="close-quote">
    <w:name w:val="close-quote"/>
    <w:basedOn w:val="a0"/>
    <w:rsid w:val="00DE6CE2"/>
  </w:style>
  <w:style w:type="character" w:customStyle="1" w:styleId="author">
    <w:name w:val="author"/>
    <w:basedOn w:val="a0"/>
    <w:rsid w:val="00DE6CE2"/>
  </w:style>
  <w:style w:type="character" w:customStyle="1" w:styleId="twoageent">
    <w:name w:val="twoageent"/>
    <w:basedOn w:val="a0"/>
    <w:rsid w:val="00DE6CE2"/>
  </w:style>
  <w:style w:type="paragraph" w:customStyle="1" w:styleId="translateflag1">
    <w:name w:val="translate_flag1"/>
    <w:basedOn w:val="a"/>
    <w:rsid w:val="00DE6C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1">
    <w:name w:val="google_branding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woageent1">
    <w:name w:val="twoageent1"/>
    <w:basedOn w:val="a0"/>
    <w:rsid w:val="00DE6CE2"/>
    <w:rPr>
      <w:color w:val="FF3300"/>
    </w:rPr>
  </w:style>
  <w:style w:type="character" w:customStyle="1" w:styleId="twoageent2">
    <w:name w:val="twoageent2"/>
    <w:basedOn w:val="a0"/>
    <w:rsid w:val="00DE6CE2"/>
    <w:rPr>
      <w:color w:val="FF3300"/>
    </w:rPr>
  </w:style>
  <w:style w:type="paragraph" w:customStyle="1" w:styleId="image1">
    <w:name w:val="imag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DE6CE2"/>
  </w:style>
  <w:style w:type="character" w:customStyle="1" w:styleId="close1">
    <w:name w:val="close1"/>
    <w:basedOn w:val="a0"/>
    <w:rsid w:val="00DE6CE2"/>
  </w:style>
  <w:style w:type="character" w:customStyle="1" w:styleId="open-quote1">
    <w:name w:val="open-quote1"/>
    <w:basedOn w:val="a0"/>
    <w:rsid w:val="00DE6CE2"/>
  </w:style>
  <w:style w:type="character" w:customStyle="1" w:styleId="close-quote1">
    <w:name w:val="close-quote1"/>
    <w:basedOn w:val="a0"/>
    <w:rsid w:val="00DE6CE2"/>
  </w:style>
  <w:style w:type="character" w:customStyle="1" w:styleId="author1">
    <w:name w:val="author1"/>
    <w:basedOn w:val="a0"/>
    <w:rsid w:val="00DE6CE2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DE6CE2"/>
    <w:rPr>
      <w:b/>
      <w:bCs/>
    </w:rPr>
  </w:style>
  <w:style w:type="character" w:customStyle="1" w:styleId="author3">
    <w:name w:val="author3"/>
    <w:basedOn w:val="a0"/>
    <w:rsid w:val="00DE6CE2"/>
    <w:rPr>
      <w:b/>
      <w:bCs/>
    </w:rPr>
  </w:style>
  <w:style w:type="character" w:customStyle="1" w:styleId="author4">
    <w:name w:val="author4"/>
    <w:basedOn w:val="a0"/>
    <w:rsid w:val="00DE6CE2"/>
    <w:rPr>
      <w:b/>
      <w:bCs/>
    </w:rPr>
  </w:style>
  <w:style w:type="character" w:customStyle="1" w:styleId="author5">
    <w:name w:val="author5"/>
    <w:basedOn w:val="a0"/>
    <w:rsid w:val="00DE6CE2"/>
    <w:rPr>
      <w:b/>
      <w:bCs/>
    </w:rPr>
  </w:style>
  <w:style w:type="paragraph" w:customStyle="1" w:styleId="contentheading1">
    <w:name w:val="contentheading1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DE6CE2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CC"/>
      <w:spacing w:before="240" w:after="240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articleseparator1">
    <w:name w:val="article_separator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6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10</cp:revision>
  <cp:lastPrinted>2016-06-29T08:20:00Z</cp:lastPrinted>
  <dcterms:created xsi:type="dcterms:W3CDTF">2016-06-28T14:54:00Z</dcterms:created>
  <dcterms:modified xsi:type="dcterms:W3CDTF">2016-06-29T08:24:00Z</dcterms:modified>
</cp:coreProperties>
</file>