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6" w:rsidRPr="00CF3BFE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0E03E6" w:rsidRPr="00DD3D6C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E03E6" w:rsidRDefault="000E03E6" w:rsidP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0E03E6" w:rsidRPr="00DD3D6C" w:rsidRDefault="000E03E6" w:rsidP="000E03E6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0E03E6" w:rsidRDefault="000E03E6" w:rsidP="000E03E6">
      <w:pPr>
        <w:jc w:val="center"/>
        <w:rPr>
          <w:b/>
          <w:sz w:val="28"/>
          <w:szCs w:val="28"/>
        </w:rPr>
      </w:pPr>
    </w:p>
    <w:p w:rsidR="000E03E6" w:rsidRPr="000F51CF" w:rsidRDefault="000E03E6" w:rsidP="000E03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3E6" w:rsidRDefault="000E03E6" w:rsidP="000E03E6">
      <w:pPr>
        <w:rPr>
          <w:sz w:val="28"/>
          <w:szCs w:val="28"/>
        </w:rPr>
      </w:pP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 </w:t>
      </w:r>
      <w:r>
        <w:rPr>
          <w:sz w:val="24"/>
          <w:szCs w:val="24"/>
        </w:rPr>
        <w:t xml:space="preserve"> </w:t>
      </w:r>
      <w:r w:rsidR="00971A51">
        <w:rPr>
          <w:sz w:val="24"/>
          <w:szCs w:val="24"/>
        </w:rPr>
        <w:t>04 сентября</w:t>
      </w:r>
      <w:r w:rsidRPr="000B0CE1">
        <w:rPr>
          <w:sz w:val="24"/>
          <w:szCs w:val="24"/>
        </w:rPr>
        <w:t xml:space="preserve">  201</w:t>
      </w:r>
      <w:r w:rsidRPr="003910AF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                                                                                  №  </w:t>
      </w:r>
      <w:r w:rsidR="00971A51">
        <w:rPr>
          <w:sz w:val="24"/>
          <w:szCs w:val="24"/>
        </w:rPr>
        <w:t>23</w:t>
      </w:r>
      <w:r w:rsidRPr="000B0CE1">
        <w:rPr>
          <w:sz w:val="24"/>
          <w:szCs w:val="24"/>
        </w:rPr>
        <w:t xml:space="preserve">                    </w:t>
      </w: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0E03E6" w:rsidRPr="000B0CE1" w:rsidRDefault="000E03E6" w:rsidP="000E03E6">
      <w:pPr>
        <w:ind w:left="4111"/>
        <w:rPr>
          <w:sz w:val="24"/>
          <w:szCs w:val="24"/>
        </w:rPr>
      </w:pPr>
    </w:p>
    <w:p w:rsidR="000E03E6" w:rsidRPr="000B0CE1" w:rsidRDefault="000E03E6" w:rsidP="000E03E6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за 1 квартал 201</w:t>
      </w:r>
      <w:r w:rsidRPr="00B23E75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янского</w:t>
      </w:r>
      <w:proofErr w:type="spellEnd"/>
      <w:r>
        <w:rPr>
          <w:sz w:val="24"/>
          <w:szCs w:val="24"/>
        </w:rPr>
        <w:t xml:space="preserve"> района за 1 квартал 2017</w:t>
      </w:r>
      <w:r w:rsidRPr="000B0CE1">
        <w:rPr>
          <w:sz w:val="24"/>
          <w:szCs w:val="24"/>
        </w:rPr>
        <w:t xml:space="preserve"> года по доходам</w:t>
      </w:r>
      <w:r>
        <w:rPr>
          <w:sz w:val="24"/>
          <w:szCs w:val="24"/>
        </w:rPr>
        <w:t xml:space="preserve"> в сумме 278,6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>
        <w:rPr>
          <w:sz w:val="24"/>
          <w:szCs w:val="24"/>
        </w:rPr>
        <w:t>блей и по расходам в сумме 334,2</w:t>
      </w:r>
      <w:r w:rsidRPr="000B0CE1">
        <w:rPr>
          <w:sz w:val="24"/>
          <w:szCs w:val="24"/>
        </w:rPr>
        <w:t xml:space="preserve"> тыс.рублей, с превышением </w:t>
      </w:r>
      <w:r>
        <w:rPr>
          <w:sz w:val="24"/>
          <w:szCs w:val="24"/>
        </w:rPr>
        <w:t>расходов над доходами в сумме 55</w:t>
      </w:r>
      <w:r w:rsidRPr="000B0CE1">
        <w:rPr>
          <w:sz w:val="24"/>
          <w:szCs w:val="24"/>
        </w:rPr>
        <w:t xml:space="preserve">,6 тыс.рублей со следующими показателями: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источникам финансирования дефицита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0B0CE1">
        <w:rPr>
          <w:sz w:val="24"/>
          <w:szCs w:val="24"/>
        </w:rPr>
        <w:t xml:space="preserve"> .</w:t>
      </w:r>
      <w:proofErr w:type="gramEnd"/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rPr>
          <w:sz w:val="24"/>
          <w:szCs w:val="24"/>
        </w:rPr>
      </w:pPr>
    </w:p>
    <w:p w:rsidR="000E03E6" w:rsidRPr="000B0CE1" w:rsidRDefault="000E03E6" w:rsidP="000E03E6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8E3C94" w:rsidRPr="000B0CE1" w:rsidRDefault="000B0CE1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0E03E6" w:rsidRPr="00726168" w:rsidRDefault="000E03E6" w:rsidP="00712EB7">
      <w:pPr>
        <w:tabs>
          <w:tab w:val="left" w:pos="2565"/>
        </w:tabs>
        <w:rPr>
          <w:sz w:val="24"/>
          <w:szCs w:val="24"/>
        </w:rPr>
      </w:pP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0E03E6" w:rsidRPr="005F775B" w:rsidRDefault="000E03E6" w:rsidP="000E0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  мая  2017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____</w:t>
      </w:r>
    </w:p>
    <w:p w:rsidR="000E03E6" w:rsidRDefault="000E03E6" w:rsidP="000E03E6"/>
    <w:p w:rsidR="000E03E6" w:rsidRDefault="000E03E6" w:rsidP="000E03E6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КВАРТАЛ    2017 года</w:t>
            </w:r>
          </w:p>
        </w:tc>
      </w:tr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8F646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0E03E6" w:rsidP="008F6467">
            <w:r>
              <w:t>Исполнено на 01.04.2017</w:t>
            </w:r>
            <w:r w:rsidRPr="00AB3E78">
              <w:t xml:space="preserve"> год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Default="00B02806" w:rsidP="008F6467">
            <w:pPr>
              <w:rPr>
                <w:lang w:val="en-US"/>
              </w:rPr>
            </w:pPr>
          </w:p>
          <w:p w:rsidR="000E03E6" w:rsidRPr="006B45D3" w:rsidRDefault="009A02EC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9A02EC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712EB7" w:rsidRPr="000E03E6" w:rsidRDefault="008F6467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</w:t>
      </w:r>
      <w:r w:rsidR="00726168">
        <w:rPr>
          <w:rFonts w:ascii="Arial" w:eastAsia="Arial" w:hAnsi="Arial" w:cs="Arial"/>
          <w:sz w:val="24"/>
          <w:lang w:val="en-US"/>
        </w:rPr>
        <w:t xml:space="preserve"> </w:t>
      </w:r>
      <w:r w:rsidR="000E03E6">
        <w:rPr>
          <w:rFonts w:ascii="Arial" w:eastAsia="Arial" w:hAnsi="Arial" w:cs="Arial"/>
          <w:sz w:val="24"/>
        </w:rPr>
        <w:t>Приложение №</w:t>
      </w:r>
      <w:r w:rsidR="000E03E6" w:rsidRPr="000E03E6">
        <w:rPr>
          <w:rFonts w:ascii="Arial" w:eastAsia="Arial" w:hAnsi="Arial" w:cs="Arial"/>
          <w:sz w:val="24"/>
        </w:rPr>
        <w:t>2</w:t>
      </w:r>
    </w:p>
    <w:p w:rsidR="00712EB7" w:rsidRDefault="00BA5D6F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</w:t>
      </w:r>
      <w:r w:rsidR="00712EB7">
        <w:rPr>
          <w:rFonts w:ascii="Arial" w:eastAsia="Arial" w:hAnsi="Arial" w:cs="Arial"/>
          <w:sz w:val="24"/>
        </w:rPr>
        <w:t xml:space="preserve"> </w:t>
      </w:r>
      <w:r w:rsidR="008738D1">
        <w:rPr>
          <w:rFonts w:ascii="Arial" w:eastAsia="Arial" w:hAnsi="Arial" w:cs="Arial"/>
          <w:sz w:val="24"/>
        </w:rPr>
        <w:t xml:space="preserve">   </w:t>
      </w:r>
      <w:r w:rsidR="00E54196">
        <w:rPr>
          <w:rFonts w:ascii="Arial" w:eastAsia="Arial" w:hAnsi="Arial" w:cs="Arial"/>
          <w:sz w:val="24"/>
        </w:rPr>
        <w:t>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</w:t>
      </w:r>
      <w:r w:rsidR="008F6467">
        <w:rPr>
          <w:rFonts w:ascii="Arial" w:eastAsia="Arial" w:hAnsi="Arial" w:cs="Arial"/>
          <w:sz w:val="24"/>
        </w:rPr>
        <w:t xml:space="preserve">от          </w:t>
      </w:r>
      <w:r w:rsidR="00726168">
        <w:rPr>
          <w:rFonts w:ascii="Arial" w:eastAsia="Arial" w:hAnsi="Arial" w:cs="Arial"/>
          <w:sz w:val="24"/>
        </w:rPr>
        <w:t>2017</w:t>
      </w:r>
      <w:r>
        <w:rPr>
          <w:rFonts w:ascii="Arial" w:eastAsia="Arial" w:hAnsi="Arial" w:cs="Arial"/>
          <w:sz w:val="24"/>
        </w:rPr>
        <w:t xml:space="preserve"> </w:t>
      </w:r>
      <w:r w:rsidR="008F6467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>№</w:t>
      </w:r>
    </w:p>
    <w:p w:rsidR="008F6467" w:rsidRDefault="008F646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8F646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квартал 2017 года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74,3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102,6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i/>
                <w:color w:val="000000"/>
                <w:sz w:val="24"/>
              </w:rPr>
              <w:t>46,8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105,4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4941F8"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941F8">
              <w:rPr>
                <w:rFonts w:ascii="Arial" w:eastAsia="Calibri" w:hAnsi="Arial" w:cs="Arial"/>
                <w:sz w:val="24"/>
                <w:szCs w:val="24"/>
              </w:rPr>
              <w:t>06,2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i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4941F8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000 2 02 15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691,2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F7E1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3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от </w:t>
      </w:r>
      <w:r w:rsidR="007F7E17">
        <w:rPr>
          <w:rFonts w:ascii="Arial" w:eastAsia="Arial" w:hAnsi="Arial" w:cs="Arial"/>
          <w:color w:val="FF0000"/>
          <w:sz w:val="24"/>
        </w:rPr>
        <w:t xml:space="preserve">               </w:t>
      </w:r>
      <w:r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7F7E17">
        <w:rPr>
          <w:rFonts w:ascii="Arial" w:eastAsia="Arial" w:hAnsi="Arial" w:cs="Arial"/>
          <w:color w:val="000000" w:themeColor="text1"/>
          <w:sz w:val="24"/>
        </w:rPr>
        <w:t>7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7F7E17">
        <w:rPr>
          <w:rFonts w:ascii="Arial" w:eastAsia="Arial" w:hAnsi="Arial" w:cs="Arial"/>
          <w:sz w:val="24"/>
        </w:rPr>
        <w:t>кого поселения за 1 квартал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8F6467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8F6467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right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131,9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F6467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F6467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712EB7" w:rsidRPr="00E923EF" w:rsidRDefault="00E30738" w:rsidP="008F646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42,6</w:t>
            </w:r>
            <w:r w:rsidR="00712EB7" w:rsidRPr="00E923E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E30738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44,2</w:t>
            </w:r>
          </w:p>
        </w:tc>
      </w:tr>
    </w:tbl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E30738" w:rsidP="00712EB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4</w:t>
      </w:r>
    </w:p>
    <w:p w:rsidR="00712EB7" w:rsidRPr="00E923EF" w:rsidRDefault="00FA7ED1" w:rsidP="00712EB7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>к Постановлению администрации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 w:rsidR="00FA7ED1" w:rsidRPr="00E923EF">
        <w:rPr>
          <w:rFonts w:ascii="Arial" w:eastAsia="Arial" w:hAnsi="Arial" w:cs="Arial"/>
          <w:sz w:val="24"/>
          <w:szCs w:val="24"/>
        </w:rPr>
        <w:t xml:space="preserve">               Воронецкого сельского поселения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от </w:t>
      </w:r>
      <w:r w:rsidR="00E30738">
        <w:rPr>
          <w:rFonts w:ascii="Arial" w:eastAsia="Arial" w:hAnsi="Arial" w:cs="Arial"/>
          <w:sz w:val="24"/>
          <w:szCs w:val="24"/>
        </w:rPr>
        <w:t xml:space="preserve">               2017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квартал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1 квартал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</w:t>
            </w:r>
          </w:p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45,8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A142BF">
              <w:rPr>
                <w:rFonts w:ascii="Arial" w:eastAsia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63,2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</w:t>
            </w:r>
            <w:r w:rsidR="004056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50,1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64,7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405614">
            <w:r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r>
              <w:rPr>
                <w:rFonts w:ascii="Arial" w:eastAsia="Arial" w:hAnsi="Arial" w:cs="Arial"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i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F51931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9B01C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5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                               2017</w:t>
      </w:r>
      <w:r w:rsidR="00387C98">
        <w:rPr>
          <w:rFonts w:ascii="Arial" w:eastAsia="Arial" w:hAnsi="Arial" w:cs="Arial"/>
          <w:sz w:val="24"/>
        </w:rPr>
        <w:t xml:space="preserve"> №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9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E09D8">
              <w:rPr>
                <w:rFonts w:ascii="Arial" w:eastAsia="Arial" w:hAnsi="Arial" w:cs="Arial"/>
                <w:b/>
                <w:color w:val="000000"/>
                <w:sz w:val="24"/>
              </w:rPr>
              <w:t>55,7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444,1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r>
              <w:rPr>
                <w:rFonts w:ascii="Arial" w:eastAsia="Arial" w:hAnsi="Arial" w:cs="Arial"/>
                <w:b/>
                <w:color w:val="000000"/>
                <w:sz w:val="24"/>
              </w:rPr>
              <w:t>188,5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45,8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63,2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A142BF">
            <w:r>
              <w:rPr>
                <w:rFonts w:ascii="Arial" w:eastAsia="Arial" w:hAnsi="Arial" w:cs="Arial"/>
                <w:color w:val="000000"/>
                <w:sz w:val="24"/>
              </w:rPr>
              <w:t>43,6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64,7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A142B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0,0</w:t>
            </w:r>
          </w:p>
        </w:tc>
      </w:tr>
      <w:tr w:rsidR="00A142BF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A142B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15,5</w:t>
            </w:r>
          </w:p>
        </w:tc>
      </w:tr>
      <w:tr w:rsidR="00251616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251616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BA60D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BA60DE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971A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71A5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71A5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71A5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71A5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4154E1" w:rsidRDefault="00F51931" w:rsidP="00971A5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971A5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971A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B103A4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1C336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</w:t>
            </w:r>
            <w:r w:rsidR="00F51931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B103A4" w:rsidRDefault="001C3368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 xml:space="preserve">000 0000 </w:t>
            </w:r>
            <w:r w:rsidRPr="001C3368"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971A5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P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sectPr w:rsidR="00712EB7" w:rsidRPr="00712EB7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0B" w:rsidRDefault="00B26B0B">
      <w:r>
        <w:separator/>
      </w:r>
    </w:p>
  </w:endnote>
  <w:endnote w:type="continuationSeparator" w:id="0">
    <w:p w:rsidR="00B26B0B" w:rsidRDefault="00B2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0B" w:rsidRDefault="00B26B0B">
      <w:r>
        <w:separator/>
      </w:r>
    </w:p>
  </w:footnote>
  <w:footnote w:type="continuationSeparator" w:id="0">
    <w:p w:rsidR="00B26B0B" w:rsidRDefault="00B2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71A51" w:rsidRDefault="00971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971A51" w:rsidRDefault="00971A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1" w:rsidRDefault="00971A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130B7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10042F"/>
    <w:rsid w:val="00100BE7"/>
    <w:rsid w:val="00112EF4"/>
    <w:rsid w:val="0011524A"/>
    <w:rsid w:val="001369DE"/>
    <w:rsid w:val="0014423D"/>
    <w:rsid w:val="001509BB"/>
    <w:rsid w:val="00151797"/>
    <w:rsid w:val="00155D6E"/>
    <w:rsid w:val="0016072B"/>
    <w:rsid w:val="00173F6C"/>
    <w:rsid w:val="00186B49"/>
    <w:rsid w:val="00193247"/>
    <w:rsid w:val="00197114"/>
    <w:rsid w:val="001A127B"/>
    <w:rsid w:val="001A1324"/>
    <w:rsid w:val="001A1D71"/>
    <w:rsid w:val="001C3368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616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A38D2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4510"/>
    <w:rsid w:val="003666DC"/>
    <w:rsid w:val="00371764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405614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41F8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524C"/>
    <w:rsid w:val="005C6D31"/>
    <w:rsid w:val="005E3CF1"/>
    <w:rsid w:val="005F4D3C"/>
    <w:rsid w:val="00614964"/>
    <w:rsid w:val="00616E63"/>
    <w:rsid w:val="0062207F"/>
    <w:rsid w:val="0062326E"/>
    <w:rsid w:val="00625E39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2EB7"/>
    <w:rsid w:val="007169E8"/>
    <w:rsid w:val="0072228B"/>
    <w:rsid w:val="00726168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51EF0"/>
    <w:rsid w:val="00861C65"/>
    <w:rsid w:val="008720FB"/>
    <w:rsid w:val="008728BD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09D8"/>
    <w:rsid w:val="008E38DA"/>
    <w:rsid w:val="008E3C94"/>
    <w:rsid w:val="008E6D47"/>
    <w:rsid w:val="008F3A96"/>
    <w:rsid w:val="008F47B6"/>
    <w:rsid w:val="008F6467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45E38"/>
    <w:rsid w:val="00961FBF"/>
    <w:rsid w:val="00965FE5"/>
    <w:rsid w:val="00967909"/>
    <w:rsid w:val="00971A51"/>
    <w:rsid w:val="0097452F"/>
    <w:rsid w:val="00977490"/>
    <w:rsid w:val="00992784"/>
    <w:rsid w:val="00995860"/>
    <w:rsid w:val="0099667B"/>
    <w:rsid w:val="009977AB"/>
    <w:rsid w:val="009A02EC"/>
    <w:rsid w:val="009A5799"/>
    <w:rsid w:val="009A63F0"/>
    <w:rsid w:val="009A7258"/>
    <w:rsid w:val="009A74CF"/>
    <w:rsid w:val="009B01C0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02806"/>
    <w:rsid w:val="00B248DB"/>
    <w:rsid w:val="00B26B0B"/>
    <w:rsid w:val="00B4067C"/>
    <w:rsid w:val="00B43B50"/>
    <w:rsid w:val="00B47E6D"/>
    <w:rsid w:val="00B64800"/>
    <w:rsid w:val="00B65AFE"/>
    <w:rsid w:val="00B76D6D"/>
    <w:rsid w:val="00B86557"/>
    <w:rsid w:val="00B92806"/>
    <w:rsid w:val="00BA5D6F"/>
    <w:rsid w:val="00BA60DE"/>
    <w:rsid w:val="00BA7ED9"/>
    <w:rsid w:val="00BA7FF6"/>
    <w:rsid w:val="00BE586B"/>
    <w:rsid w:val="00C145A7"/>
    <w:rsid w:val="00C14CF5"/>
    <w:rsid w:val="00C20496"/>
    <w:rsid w:val="00C223F5"/>
    <w:rsid w:val="00C353A6"/>
    <w:rsid w:val="00C40225"/>
    <w:rsid w:val="00C45475"/>
    <w:rsid w:val="00C47790"/>
    <w:rsid w:val="00C47D14"/>
    <w:rsid w:val="00C52E08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413"/>
    <w:rsid w:val="00D04932"/>
    <w:rsid w:val="00D053EA"/>
    <w:rsid w:val="00D14565"/>
    <w:rsid w:val="00D16210"/>
    <w:rsid w:val="00D25F7B"/>
    <w:rsid w:val="00D30954"/>
    <w:rsid w:val="00D37A0F"/>
    <w:rsid w:val="00D460B3"/>
    <w:rsid w:val="00D761BE"/>
    <w:rsid w:val="00D763FE"/>
    <w:rsid w:val="00DA05FE"/>
    <w:rsid w:val="00DA36E5"/>
    <w:rsid w:val="00DB69F8"/>
    <w:rsid w:val="00DC1DF3"/>
    <w:rsid w:val="00DD3D6C"/>
    <w:rsid w:val="00DD6666"/>
    <w:rsid w:val="00DE435F"/>
    <w:rsid w:val="00DF2041"/>
    <w:rsid w:val="00E042B7"/>
    <w:rsid w:val="00E134DA"/>
    <w:rsid w:val="00E17E9B"/>
    <w:rsid w:val="00E21FEA"/>
    <w:rsid w:val="00E30738"/>
    <w:rsid w:val="00E34C76"/>
    <w:rsid w:val="00E37383"/>
    <w:rsid w:val="00E54196"/>
    <w:rsid w:val="00E566ED"/>
    <w:rsid w:val="00E60B70"/>
    <w:rsid w:val="00E65151"/>
    <w:rsid w:val="00E740BD"/>
    <w:rsid w:val="00E904BD"/>
    <w:rsid w:val="00E923EF"/>
    <w:rsid w:val="00EA495E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1931"/>
    <w:rsid w:val="00F52EEC"/>
    <w:rsid w:val="00F54F49"/>
    <w:rsid w:val="00F8453C"/>
    <w:rsid w:val="00F84EEF"/>
    <w:rsid w:val="00F85D71"/>
    <w:rsid w:val="00F92606"/>
    <w:rsid w:val="00F93807"/>
    <w:rsid w:val="00FA0358"/>
    <w:rsid w:val="00FA26E7"/>
    <w:rsid w:val="00FA7ED1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E51A-6C9D-4C08-9B12-111CB1FB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45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52</cp:revision>
  <cp:lastPrinted>2014-01-30T10:36:00Z</cp:lastPrinted>
  <dcterms:created xsi:type="dcterms:W3CDTF">2014-06-05T12:11:00Z</dcterms:created>
  <dcterms:modified xsi:type="dcterms:W3CDTF">2017-09-20T08:55:00Z</dcterms:modified>
</cp:coreProperties>
</file>