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095A52">
        <w:rPr>
          <w:rFonts w:ascii="Arial" w:eastAsia="Arial" w:hAnsi="Arial" w:cs="Arial"/>
          <w:color w:val="000000" w:themeColor="text1"/>
          <w:sz w:val="24"/>
        </w:rPr>
        <w:t>5</w:t>
      </w:r>
      <w:r w:rsidR="00FA6C2C">
        <w:rPr>
          <w:rFonts w:ascii="Arial" w:eastAsia="Arial" w:hAnsi="Arial" w:cs="Arial"/>
          <w:sz w:val="24"/>
        </w:rPr>
        <w:t xml:space="preserve"> </w:t>
      </w:r>
      <w:r w:rsidR="00095A52">
        <w:rPr>
          <w:rFonts w:ascii="Arial" w:eastAsia="Arial" w:hAnsi="Arial" w:cs="Arial"/>
          <w:sz w:val="24"/>
        </w:rPr>
        <w:t>ма</w:t>
      </w:r>
      <w:r w:rsidR="00774929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</w:t>
      </w:r>
      <w:r w:rsidR="006B2787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                                                                № </w:t>
      </w:r>
      <w:r w:rsidR="00095A52">
        <w:rPr>
          <w:rFonts w:ascii="Arial" w:eastAsia="Arial" w:hAnsi="Arial" w:cs="Arial"/>
          <w:sz w:val="24"/>
        </w:rPr>
        <w:t>104</w:t>
      </w:r>
    </w:p>
    <w:p w:rsidR="00CF4D81" w:rsidRDefault="006B2787" w:rsidP="006B278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FD1129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FD1129">
        <w:rPr>
          <w:rFonts w:ascii="Arial" w:eastAsia="Arial" w:hAnsi="Arial" w:cs="Arial"/>
          <w:b/>
          <w:sz w:val="24"/>
        </w:rPr>
        <w:t xml:space="preserve">квартал </w:t>
      </w:r>
      <w:r>
        <w:rPr>
          <w:rFonts w:ascii="Arial" w:eastAsia="Arial" w:hAnsi="Arial" w:cs="Arial"/>
          <w:b/>
          <w:sz w:val="24"/>
        </w:rPr>
        <w:t>201</w:t>
      </w:r>
      <w:r w:rsidR="00FD1129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FD11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FD1129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FD1129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FD1129">
        <w:rPr>
          <w:rFonts w:ascii="Arial" w:eastAsia="Arial" w:hAnsi="Arial" w:cs="Arial"/>
          <w:sz w:val="24"/>
        </w:rPr>
        <w:t>524,6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FD1129">
        <w:rPr>
          <w:rFonts w:ascii="Arial" w:eastAsia="Arial" w:hAnsi="Arial" w:cs="Arial"/>
          <w:sz w:val="24"/>
        </w:rPr>
        <w:t>525,9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FD1129">
        <w:rPr>
          <w:rFonts w:ascii="Arial" w:eastAsia="Arial" w:hAnsi="Arial" w:cs="Arial"/>
          <w:sz w:val="24"/>
        </w:rPr>
        <w:t>рас</w:t>
      </w:r>
      <w:r w:rsidR="00032D8F">
        <w:rPr>
          <w:rFonts w:ascii="Arial" w:eastAsia="Arial" w:hAnsi="Arial" w:cs="Arial"/>
          <w:sz w:val="24"/>
        </w:rPr>
        <w:t xml:space="preserve">ходов над </w:t>
      </w:r>
      <w:r w:rsidR="00FD1129">
        <w:rPr>
          <w:rFonts w:ascii="Arial" w:eastAsia="Arial" w:hAnsi="Arial" w:cs="Arial"/>
          <w:sz w:val="24"/>
        </w:rPr>
        <w:t>до</w:t>
      </w:r>
      <w:r>
        <w:rPr>
          <w:rFonts w:ascii="Arial" w:eastAsia="Arial" w:hAnsi="Arial" w:cs="Arial"/>
          <w:sz w:val="24"/>
        </w:rPr>
        <w:t>ход</w:t>
      </w:r>
      <w:r w:rsidR="00032D8F">
        <w:rPr>
          <w:rFonts w:ascii="Arial" w:eastAsia="Arial" w:hAnsi="Arial" w:cs="Arial"/>
          <w:sz w:val="24"/>
        </w:rPr>
        <w:t>ами (</w:t>
      </w:r>
      <w:r w:rsidR="00FD1129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 xml:space="preserve">фицит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FD1129">
        <w:rPr>
          <w:rFonts w:ascii="Arial" w:eastAsia="Arial" w:hAnsi="Arial" w:cs="Arial"/>
          <w:sz w:val="24"/>
        </w:rPr>
        <w:t>1,3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FD1129">
        <w:rPr>
          <w:rFonts w:ascii="Arial" w:eastAsia="Arial" w:hAnsi="Arial" w:cs="Arial"/>
          <w:sz w:val="24"/>
        </w:rPr>
        <w:t>квартал</w:t>
      </w:r>
      <w:r w:rsidR="00535AC2"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FD1129">
        <w:rPr>
          <w:rFonts w:ascii="Arial" w:eastAsia="Arial" w:hAnsi="Arial" w:cs="Arial"/>
          <w:sz w:val="24"/>
        </w:rPr>
        <w:t>квартал</w:t>
      </w:r>
      <w:r w:rsidR="007749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FD1129">
        <w:rPr>
          <w:rFonts w:ascii="Arial" w:eastAsia="Arial" w:hAnsi="Arial" w:cs="Arial"/>
          <w:sz w:val="24"/>
        </w:rPr>
        <w:t>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FD1129">
        <w:rPr>
          <w:rFonts w:ascii="Arial" w:eastAsia="Arial" w:hAnsi="Arial" w:cs="Arial"/>
          <w:sz w:val="24"/>
        </w:rPr>
        <w:t>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FD1129">
        <w:rPr>
          <w:rFonts w:ascii="Arial" w:eastAsia="Arial" w:hAnsi="Arial" w:cs="Arial"/>
          <w:sz w:val="24"/>
        </w:rPr>
        <w:t>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</w:t>
      </w:r>
      <w:r w:rsidR="006B2787">
        <w:rPr>
          <w:rFonts w:ascii="Arial" w:eastAsia="Arial" w:hAnsi="Arial" w:cs="Arial"/>
          <w:sz w:val="24"/>
        </w:rPr>
        <w:t>бнародо</w:t>
      </w:r>
      <w:r w:rsidR="00FD7A7D">
        <w:rPr>
          <w:rFonts w:ascii="Arial" w:eastAsia="Arial" w:hAnsi="Arial" w:cs="Arial"/>
          <w:sz w:val="24"/>
        </w:rPr>
        <w:t>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lastRenderedPageBreak/>
        <w:t>Пояснительная записка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 отчету об исполнении бюджета </w:t>
      </w:r>
      <w:r>
        <w:rPr>
          <w:rFonts w:ascii="Arial" w:eastAsia="Arial" w:hAnsi="Arial" w:cs="Arial"/>
          <w:sz w:val="24"/>
        </w:rPr>
        <w:t>сельского поселения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за </w:t>
      </w:r>
      <w:r w:rsidR="002D648E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</w:t>
      </w: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ab/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2D648E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2D648E">
        <w:rPr>
          <w:rFonts w:ascii="Arial" w:eastAsia="Arial" w:hAnsi="Arial" w:cs="Arial"/>
          <w:sz w:val="24"/>
        </w:rPr>
        <w:t>524,6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2D648E">
        <w:rPr>
          <w:rFonts w:ascii="Arial" w:eastAsia="Arial" w:hAnsi="Arial" w:cs="Arial"/>
          <w:sz w:val="24"/>
        </w:rPr>
        <w:t>34,5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2D648E">
        <w:rPr>
          <w:rFonts w:ascii="Arial" w:eastAsia="Arial" w:hAnsi="Arial" w:cs="Arial"/>
          <w:sz w:val="24"/>
        </w:rPr>
        <w:t>131,8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2D648E">
        <w:rPr>
          <w:rFonts w:ascii="Arial" w:eastAsia="Arial" w:hAnsi="Arial" w:cs="Arial"/>
          <w:sz w:val="24"/>
        </w:rPr>
        <w:t>25,1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2D648E">
        <w:rPr>
          <w:rFonts w:ascii="Arial" w:eastAsia="Arial" w:hAnsi="Arial" w:cs="Arial"/>
          <w:sz w:val="24"/>
        </w:rPr>
        <w:t>392,8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2D648E">
        <w:rPr>
          <w:rFonts w:ascii="Arial" w:eastAsia="Arial" w:hAnsi="Arial" w:cs="Arial"/>
          <w:sz w:val="24"/>
        </w:rPr>
        <w:t>74,9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2D648E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673129" w:rsidRPr="00E05316" w:rsidRDefault="00673129" w:rsidP="00E05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2D648E">
        <w:rPr>
          <w:rFonts w:ascii="Arial" w:eastAsia="Arial" w:hAnsi="Arial" w:cs="Arial"/>
          <w:sz w:val="24"/>
        </w:rPr>
        <w:t>26,4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2D648E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2D648E">
        <w:rPr>
          <w:rFonts w:ascii="Arial" w:eastAsia="Arial" w:hAnsi="Arial" w:cs="Arial"/>
          <w:color w:val="000000" w:themeColor="text1"/>
          <w:sz w:val="24"/>
        </w:rPr>
        <w:t>1520,5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2D648E">
        <w:rPr>
          <w:rFonts w:ascii="Arial" w:eastAsia="Arial" w:hAnsi="Arial" w:cs="Arial"/>
          <w:color w:val="000000" w:themeColor="text1"/>
          <w:sz w:val="24"/>
        </w:rPr>
        <w:t>524,6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что на </w:t>
      </w:r>
      <w:r w:rsidR="002D648E">
        <w:rPr>
          <w:rFonts w:ascii="Arial" w:eastAsia="Arial" w:hAnsi="Arial" w:cs="Arial"/>
          <w:color w:val="000000" w:themeColor="text1"/>
          <w:sz w:val="24"/>
        </w:rPr>
        <w:t>22,2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выш</w:t>
      </w:r>
      <w:r w:rsidRPr="00E05316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2D648E">
        <w:rPr>
          <w:rFonts w:ascii="Arial" w:eastAsia="Arial" w:hAnsi="Arial" w:cs="Arial"/>
          <w:color w:val="000000" w:themeColor="text1"/>
          <w:sz w:val="24"/>
        </w:rPr>
        <w:t>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у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в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лич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ение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голом сложилось за счет поступлений </w:t>
      </w:r>
      <w:r w:rsidR="00774929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2D648E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Pr="00E05316">
        <w:rPr>
          <w:rFonts w:ascii="Arial" w:eastAsia="Arial" w:hAnsi="Arial" w:cs="Arial"/>
          <w:color w:val="000000" w:themeColor="text1"/>
          <w:sz w:val="24"/>
        </w:rPr>
        <w:t>201</w:t>
      </w:r>
      <w:r w:rsidR="002D648E">
        <w:rPr>
          <w:rFonts w:ascii="Arial" w:eastAsia="Arial" w:hAnsi="Arial" w:cs="Arial"/>
          <w:color w:val="000000" w:themeColor="text1"/>
          <w:sz w:val="24"/>
        </w:rPr>
        <w:t>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доходов от</w:t>
      </w:r>
      <w:r w:rsidR="00E053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продажи земельных участков</w:t>
      </w:r>
      <w:r w:rsidRPr="00E05316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</w:t>
      </w:r>
      <w:r w:rsidR="00673129" w:rsidRPr="00673129">
        <w:rPr>
          <w:rFonts w:ascii="Arial" w:eastAsia="Arial" w:hAnsi="Arial" w:cs="Arial"/>
          <w:sz w:val="24"/>
        </w:rPr>
        <w:t xml:space="preserve">За </w:t>
      </w:r>
      <w:r w:rsidR="002D648E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2D648E">
        <w:rPr>
          <w:rFonts w:ascii="Arial" w:eastAsia="Arial" w:hAnsi="Arial" w:cs="Arial"/>
          <w:sz w:val="24"/>
        </w:rPr>
        <w:t>392,8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 </w:t>
      </w:r>
      <w:r w:rsidR="002D648E">
        <w:rPr>
          <w:rFonts w:ascii="Arial" w:eastAsia="Arial" w:hAnsi="Arial" w:cs="Arial"/>
          <w:sz w:val="24"/>
        </w:rPr>
        <w:t>227,2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2D648E">
        <w:rPr>
          <w:rFonts w:ascii="Arial" w:eastAsia="Arial" w:hAnsi="Arial" w:cs="Arial"/>
          <w:sz w:val="24"/>
        </w:rPr>
        <w:t>140,0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2D648E">
        <w:rPr>
          <w:rFonts w:ascii="Arial" w:eastAsia="Arial" w:hAnsi="Arial" w:cs="Arial"/>
          <w:sz w:val="24"/>
        </w:rPr>
        <w:t>25,6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2D648E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2D648E">
        <w:rPr>
          <w:rFonts w:ascii="Arial" w:eastAsia="Arial" w:hAnsi="Arial" w:cs="Arial"/>
          <w:sz w:val="24"/>
        </w:rPr>
        <w:t>525,9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2D648E">
        <w:rPr>
          <w:rFonts w:ascii="Arial" w:eastAsia="Arial" w:hAnsi="Arial" w:cs="Arial"/>
          <w:sz w:val="24"/>
        </w:rPr>
        <w:t>34,6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К аналогичному периоду прошлого года расходы увеличение составило </w:t>
      </w:r>
      <w:r w:rsidR="002D648E">
        <w:rPr>
          <w:rFonts w:ascii="Arial" w:eastAsia="Arial" w:hAnsi="Arial" w:cs="Arial"/>
          <w:sz w:val="24"/>
        </w:rPr>
        <w:t>22,2</w:t>
      </w:r>
      <w:r w:rsidR="00673129" w:rsidRPr="00673129">
        <w:rPr>
          <w:rFonts w:ascii="Arial" w:eastAsia="Arial" w:hAnsi="Arial" w:cs="Arial"/>
          <w:sz w:val="24"/>
        </w:rPr>
        <w:t xml:space="preserve"> тыс. 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</w:t>
      </w:r>
      <w:r w:rsidR="00B75373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B75373">
        <w:rPr>
          <w:rFonts w:ascii="Arial" w:eastAsia="Arial" w:hAnsi="Arial" w:cs="Arial"/>
          <w:sz w:val="24"/>
        </w:rPr>
        <w:t>85,9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B75373">
        <w:rPr>
          <w:rFonts w:ascii="Arial" w:eastAsia="Arial" w:hAnsi="Arial" w:cs="Arial"/>
          <w:sz w:val="24"/>
        </w:rPr>
        <w:t>16,3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75373">
        <w:rPr>
          <w:rFonts w:ascii="Arial" w:eastAsia="Arial" w:hAnsi="Arial" w:cs="Arial"/>
          <w:sz w:val="24"/>
        </w:rPr>
        <w:t>а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B75373">
        <w:rPr>
          <w:rFonts w:ascii="Arial" w:eastAsia="Arial" w:hAnsi="Arial" w:cs="Arial"/>
          <w:sz w:val="24"/>
        </w:rPr>
        <w:t xml:space="preserve">85,8 тыс. рублей.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B75373">
        <w:rPr>
          <w:rFonts w:ascii="Arial" w:eastAsia="Arial" w:hAnsi="Arial" w:cs="Arial"/>
          <w:sz w:val="24"/>
        </w:rPr>
        <w:t>276,0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B75373">
        <w:rPr>
          <w:rFonts w:ascii="Arial" w:eastAsia="Arial" w:hAnsi="Arial" w:cs="Arial"/>
          <w:sz w:val="24"/>
        </w:rPr>
        <w:t>52,5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79059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B75373">
        <w:rPr>
          <w:rFonts w:ascii="Arial" w:eastAsia="Arial" w:hAnsi="Arial" w:cs="Arial"/>
          <w:sz w:val="24"/>
        </w:rPr>
        <w:t>34</w:t>
      </w:r>
      <w:r w:rsidR="00886A36">
        <w:rPr>
          <w:rFonts w:ascii="Arial" w:eastAsia="Arial" w:hAnsi="Arial" w:cs="Arial"/>
          <w:sz w:val="24"/>
        </w:rPr>
        <w:t>,3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75373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 w:rsidR="00B75373">
        <w:rPr>
          <w:rFonts w:ascii="Arial" w:eastAsia="Arial" w:hAnsi="Arial" w:cs="Arial"/>
          <w:sz w:val="24"/>
        </w:rPr>
        <w:t>22,0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B75373">
        <w:rPr>
          <w:rFonts w:ascii="Arial" w:eastAsia="Arial" w:hAnsi="Arial" w:cs="Arial"/>
          <w:sz w:val="24"/>
        </w:rPr>
        <w:t>21,5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886A36">
        <w:rPr>
          <w:rFonts w:ascii="Arial" w:eastAsia="Arial" w:hAnsi="Arial" w:cs="Arial"/>
          <w:sz w:val="24"/>
        </w:rPr>
        <w:t>1</w:t>
      </w:r>
      <w:r w:rsidR="00B75373">
        <w:rPr>
          <w:rFonts w:ascii="Arial" w:eastAsia="Arial" w:hAnsi="Arial" w:cs="Arial"/>
          <w:sz w:val="24"/>
        </w:rPr>
        <w:t>3</w:t>
      </w:r>
      <w:r w:rsidR="00886A36">
        <w:rPr>
          <w:rFonts w:ascii="Arial" w:eastAsia="Arial" w:hAnsi="Arial" w:cs="Arial"/>
          <w:sz w:val="24"/>
        </w:rPr>
        <w:t>9,</w:t>
      </w:r>
      <w:r w:rsidR="00B75373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433428">
        <w:rPr>
          <w:rFonts w:ascii="Arial" w:eastAsia="Arial" w:hAnsi="Arial" w:cs="Arial"/>
          <w:sz w:val="24"/>
        </w:rPr>
        <w:t>250,</w:t>
      </w:r>
      <w:r w:rsidR="00B75373">
        <w:rPr>
          <w:rFonts w:ascii="Arial" w:eastAsia="Arial" w:hAnsi="Arial" w:cs="Arial"/>
          <w:sz w:val="24"/>
        </w:rPr>
        <w:t>5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B75373">
        <w:rPr>
          <w:rFonts w:ascii="Arial" w:eastAsia="Arial" w:hAnsi="Arial" w:cs="Arial"/>
          <w:sz w:val="24"/>
        </w:rPr>
        <w:t>55,6</w:t>
      </w:r>
    </w:p>
    <w:p w:rsidR="00433428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B75373">
        <w:rPr>
          <w:rFonts w:ascii="Arial" w:eastAsia="Arial" w:hAnsi="Arial" w:cs="Arial"/>
          <w:sz w:val="24"/>
        </w:rPr>
        <w:t>0,3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B75373">
        <w:rPr>
          <w:rFonts w:ascii="Arial" w:eastAsia="Arial" w:hAnsi="Arial" w:cs="Arial"/>
          <w:sz w:val="24"/>
        </w:rPr>
        <w:t>33,0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B75373">
        <w:rPr>
          <w:rFonts w:ascii="Arial" w:eastAsia="Arial" w:hAnsi="Arial" w:cs="Arial"/>
          <w:sz w:val="24"/>
        </w:rPr>
        <w:t>85,9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B75373">
        <w:rPr>
          <w:rFonts w:ascii="Arial" w:eastAsia="Arial" w:hAnsi="Arial" w:cs="Arial"/>
          <w:sz w:val="24"/>
        </w:rPr>
        <w:t>28,6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B75373">
        <w:rPr>
          <w:rFonts w:ascii="Arial" w:eastAsia="Arial" w:hAnsi="Arial" w:cs="Arial"/>
          <w:sz w:val="24"/>
        </w:rPr>
        <w:t>85,8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75373">
        <w:rPr>
          <w:rFonts w:ascii="Arial" w:eastAsia="Arial" w:hAnsi="Arial" w:cs="Arial"/>
          <w:sz w:val="24"/>
        </w:rPr>
        <w:t>28,6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6416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B75373">
        <w:rPr>
          <w:rFonts w:ascii="Arial" w:eastAsia="Arial" w:hAnsi="Arial" w:cs="Arial"/>
          <w:sz w:val="24"/>
        </w:rPr>
        <w:t>1 квартал</w:t>
      </w:r>
      <w:r w:rsidR="00673129" w:rsidRPr="00673129">
        <w:rPr>
          <w:rFonts w:ascii="Arial" w:eastAsia="Arial" w:hAnsi="Arial" w:cs="Arial"/>
          <w:sz w:val="24"/>
        </w:rPr>
        <w:t xml:space="preserve"> 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</w:p>
    <w:p w:rsidR="00186C16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B75373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B75373">
        <w:rPr>
          <w:rFonts w:ascii="Arial" w:eastAsia="Arial" w:hAnsi="Arial" w:cs="Arial"/>
          <w:sz w:val="24"/>
        </w:rPr>
        <w:t>де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B75373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B75373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B75373">
        <w:rPr>
          <w:rFonts w:ascii="Arial" w:eastAsia="Arial" w:hAnsi="Arial" w:cs="Arial"/>
          <w:sz w:val="24"/>
        </w:rPr>
        <w:t>1,3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</w:t>
      </w:r>
      <w:r w:rsidR="00673129" w:rsidRPr="00673129">
        <w:rPr>
          <w:rFonts w:ascii="Arial" w:eastAsia="Arial" w:hAnsi="Arial" w:cs="Arial"/>
          <w:sz w:val="24"/>
        </w:rPr>
        <w:lastRenderedPageBreak/>
        <w:t xml:space="preserve">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B75373">
        <w:rPr>
          <w:rFonts w:ascii="Arial" w:eastAsia="Arial" w:hAnsi="Arial" w:cs="Arial"/>
          <w:sz w:val="24"/>
        </w:rPr>
        <w:t>1 квартал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4D3A1F" w:rsidRDefault="00535AC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</w:t>
      </w:r>
      <w:r w:rsidR="005C03FA"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sz w:val="28"/>
        </w:rPr>
        <w:t xml:space="preserve"> </w:t>
      </w:r>
    </w:p>
    <w:p w:rsidR="004D3A1F" w:rsidRDefault="004D3A1F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75373" w:rsidRDefault="004D3A1F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</w:t>
      </w:r>
    </w:p>
    <w:p w:rsidR="00CF4D81" w:rsidRDefault="00B7537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</w:t>
      </w:r>
      <w:r w:rsidR="004D3A1F">
        <w:rPr>
          <w:rFonts w:ascii="Calibri" w:eastAsia="Calibri" w:hAnsi="Calibri" w:cs="Calibri"/>
          <w:sz w:val="28"/>
        </w:rPr>
        <w:t xml:space="preserve"> </w:t>
      </w:r>
      <w:r w:rsidR="00535AC2">
        <w:rPr>
          <w:rFonts w:ascii="Calibri" w:eastAsia="Calibri" w:hAnsi="Calibri" w:cs="Calibri"/>
          <w:sz w:val="28"/>
        </w:rPr>
        <w:t xml:space="preserve">  </w:t>
      </w:r>
      <w:r w:rsidR="00535AC2"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095A52">
        <w:rPr>
          <w:rFonts w:ascii="Arial" w:eastAsia="Arial" w:hAnsi="Arial" w:cs="Arial"/>
          <w:color w:val="000000" w:themeColor="text1"/>
          <w:sz w:val="24"/>
        </w:rPr>
        <w:t>5</w:t>
      </w:r>
      <w:r w:rsidR="00FA6C2C">
        <w:rPr>
          <w:rFonts w:ascii="Arial" w:eastAsia="Arial" w:hAnsi="Arial" w:cs="Arial"/>
          <w:sz w:val="24"/>
        </w:rPr>
        <w:t xml:space="preserve"> </w:t>
      </w:r>
      <w:r w:rsidR="00095A52">
        <w:rPr>
          <w:rFonts w:ascii="Arial" w:eastAsia="Arial" w:hAnsi="Arial" w:cs="Arial"/>
          <w:sz w:val="24"/>
        </w:rPr>
        <w:t>ма</w:t>
      </w:r>
      <w:r w:rsidR="004D3A1F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A334B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№</w:t>
      </w:r>
      <w:r w:rsidR="00095A52">
        <w:rPr>
          <w:rFonts w:ascii="Arial" w:eastAsia="Arial" w:hAnsi="Arial" w:cs="Arial"/>
          <w:sz w:val="24"/>
        </w:rPr>
        <w:t>104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поселения за </w:t>
      </w:r>
      <w:r w:rsidR="00A334BA">
        <w:rPr>
          <w:rFonts w:ascii="Arial" w:eastAsia="Arial" w:hAnsi="Arial" w:cs="Arial"/>
          <w:b/>
          <w:sz w:val="24"/>
        </w:rPr>
        <w:t>1 квартал</w:t>
      </w:r>
      <w:r>
        <w:rPr>
          <w:rFonts w:ascii="Arial" w:eastAsia="Arial" w:hAnsi="Arial" w:cs="Arial"/>
          <w:b/>
          <w:sz w:val="24"/>
        </w:rPr>
        <w:t xml:space="preserve"> 201</w:t>
      </w:r>
      <w:r w:rsidR="00A334BA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040"/>
        <w:gridCol w:w="1284"/>
        <w:gridCol w:w="1653"/>
      </w:tblGrid>
      <w:tr w:rsidR="00CF4D81" w:rsidTr="005C03FA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План бюджетной росписи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A334B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1520,5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A334B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524,6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34,5</w:t>
            </w:r>
          </w:p>
        </w:tc>
      </w:tr>
      <w:tr w:rsidR="00CF4D81" w:rsidTr="005C03FA">
        <w:trPr>
          <w:trHeight w:val="746"/>
        </w:trPr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A334B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1520,5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A334B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524,6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34,5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A334B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1520,5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A334B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524,6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34,5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1520,5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525,9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001 05 02 01 00 0000 </w:t>
            </w:r>
            <w:r>
              <w:rPr>
                <w:rFonts w:ascii="Arial" w:eastAsia="Arial" w:hAnsi="Arial" w:cs="Arial"/>
                <w:sz w:val="24"/>
              </w:rPr>
              <w:lastRenderedPageBreak/>
              <w:t>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Уменьшение прочих остатков средств </w:t>
            </w:r>
            <w:r>
              <w:rPr>
                <w:rFonts w:ascii="Arial" w:eastAsia="Arial" w:hAnsi="Arial" w:cs="Arial"/>
                <w:sz w:val="24"/>
              </w:rPr>
              <w:lastRenderedPageBreak/>
              <w:t>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1520,5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525,9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1520,5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525,9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1520,5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525,9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34,6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   </w:t>
      </w: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D7A7D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186C16" w:rsidRDefault="00FD7A7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095A52">
        <w:rPr>
          <w:rFonts w:ascii="Arial" w:eastAsia="Arial" w:hAnsi="Arial" w:cs="Arial"/>
          <w:color w:val="000000" w:themeColor="text1"/>
          <w:sz w:val="24"/>
        </w:rPr>
        <w:t>5</w:t>
      </w:r>
      <w:r w:rsidR="00FA6C2C">
        <w:rPr>
          <w:rFonts w:ascii="Arial" w:eastAsia="Arial" w:hAnsi="Arial" w:cs="Arial"/>
          <w:sz w:val="24"/>
        </w:rPr>
        <w:t xml:space="preserve"> </w:t>
      </w:r>
      <w:r w:rsidR="00095A52">
        <w:rPr>
          <w:rFonts w:ascii="Arial" w:eastAsia="Arial" w:hAnsi="Arial" w:cs="Arial"/>
          <w:sz w:val="24"/>
        </w:rPr>
        <w:t>ма</w:t>
      </w:r>
      <w:r w:rsidR="004D3A1F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A334B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г. №</w:t>
      </w:r>
      <w:r w:rsidR="00095A52">
        <w:rPr>
          <w:rFonts w:ascii="Arial" w:eastAsia="Arial" w:hAnsi="Arial" w:cs="Arial"/>
          <w:sz w:val="24"/>
        </w:rPr>
        <w:t>104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644"/>
        <w:gridCol w:w="3443"/>
        <w:gridCol w:w="1426"/>
        <w:gridCol w:w="1209"/>
        <w:gridCol w:w="1497"/>
      </w:tblGrid>
      <w:tr w:rsidR="00CF4D81" w:rsidTr="00C46D48">
        <w:tc>
          <w:tcPr>
            <w:tcW w:w="92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201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C46D48">
        <w:trPr>
          <w:trHeight w:val="300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A334BA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86C16" w:rsidTr="00C46D48">
        <w:trPr>
          <w:trHeight w:val="1671"/>
        </w:trPr>
        <w:tc>
          <w:tcPr>
            <w:tcW w:w="1644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498,6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26,4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</w:t>
            </w:r>
            <w:r w:rsidR="004D3A1F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</w:t>
            </w:r>
            <w:r w:rsidR="004D3A1F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15,3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334BA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334BA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141,0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334B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15,6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22,,0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A334BA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141,0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334BA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334BA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77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17,1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182 1 06 01000 00 0000 110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2C0A8C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4D3A1F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1,9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C0A8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D3A1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A334B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18,3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4D3A1F">
              <w:rPr>
                <w:rFonts w:ascii="Arial" w:eastAsia="Arial" w:hAnsi="Arial" w:cs="Arial"/>
                <w:b/>
                <w:sz w:val="24"/>
              </w:rPr>
              <w:t>4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A334B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A334BA" w:rsidP="004D3A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</w:t>
            </w:r>
            <w:r w:rsidR="004D3A1F" w:rsidRPr="004D3A1F">
              <w:rPr>
                <w:rFonts w:ascii="Arial" w:eastAsia="Arial" w:hAnsi="Arial" w:cs="Arial"/>
                <w:i/>
                <w:sz w:val="24"/>
              </w:rPr>
              <w:t>4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55C94">
              <w:rPr>
                <w:rFonts w:ascii="Arial" w:eastAsia="Arial" w:hAnsi="Arial" w:cs="Arial"/>
                <w:sz w:val="24"/>
              </w:rPr>
              <w:t>4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968AC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968AC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000 1 13 02060 00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0000 130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Доходы, поступающие в порядке возмещения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расходов, понесенных в связи с эксплуатацией 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968AC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000 1 13 02065 10 0000 130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992C6D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A968AC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A968AC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A968AC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  <w:r w:rsidR="00A55C94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992C6D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A968AC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B7BC5" w:rsidRDefault="00A968AC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A55C94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968AC">
              <w:rPr>
                <w:rFonts w:ascii="Arial" w:hAnsi="Arial" w:cs="Arial"/>
                <w:sz w:val="24"/>
                <w:szCs w:val="24"/>
              </w:rPr>
              <w:t>11</w:t>
            </w:r>
            <w:r w:rsidR="00992C6D" w:rsidRPr="00992C6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92C6D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000 1 14 06010 00 0000 430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968AC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A968AC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55C94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968AC">
              <w:rPr>
                <w:rFonts w:ascii="Arial" w:hAnsi="Arial" w:cs="Arial"/>
                <w:sz w:val="24"/>
                <w:szCs w:val="24"/>
              </w:rPr>
              <w:t>11</w:t>
            </w:r>
            <w:r w:rsidR="00992C6D" w:rsidRPr="00992C6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92C6D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000 1 14 06013 10 0000 430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3911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968AC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A968AC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55C94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968AC">
              <w:rPr>
                <w:rFonts w:ascii="Arial" w:hAnsi="Arial" w:cs="Arial"/>
                <w:sz w:val="24"/>
                <w:szCs w:val="24"/>
              </w:rPr>
              <w:t>11</w:t>
            </w:r>
            <w:r w:rsidR="00992C6D" w:rsidRPr="00992C6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D66D66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D66D66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66D6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AB7BC5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AB7BC5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A55C94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1021,9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392,8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1021,9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392,8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38,4</w:t>
            </w:r>
          </w:p>
        </w:tc>
      </w:tr>
      <w:tr w:rsidR="00CF4D81" w:rsidTr="00C46D48">
        <w:trPr>
          <w:trHeight w:val="847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681</w:t>
            </w:r>
            <w:r w:rsidR="009B6098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Дотации на выравнивание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681,2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681,2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A55C94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238,5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58,7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238,5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58,7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238,5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58,7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1520,5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524,6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34,5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6B2787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</w:p>
    <w:p w:rsidR="00CF4D81" w:rsidRDefault="006B27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</w:t>
      </w:r>
      <w:r w:rsidR="008B54AA">
        <w:rPr>
          <w:rFonts w:ascii="Arial" w:eastAsia="Arial" w:hAnsi="Arial" w:cs="Arial"/>
          <w:sz w:val="24"/>
        </w:rPr>
        <w:t xml:space="preserve">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095A52">
        <w:rPr>
          <w:rFonts w:ascii="Arial" w:eastAsia="Arial" w:hAnsi="Arial" w:cs="Arial"/>
          <w:color w:val="000000" w:themeColor="text1"/>
          <w:sz w:val="24"/>
        </w:rPr>
        <w:t>5</w:t>
      </w:r>
      <w:r w:rsidR="00FA6C2C">
        <w:rPr>
          <w:rFonts w:ascii="Arial" w:eastAsia="Arial" w:hAnsi="Arial" w:cs="Arial"/>
          <w:sz w:val="24"/>
        </w:rPr>
        <w:t xml:space="preserve"> </w:t>
      </w:r>
      <w:r w:rsidR="00095A52">
        <w:rPr>
          <w:rFonts w:ascii="Arial" w:eastAsia="Arial" w:hAnsi="Arial" w:cs="Arial"/>
          <w:sz w:val="24"/>
        </w:rPr>
        <w:t>ма</w:t>
      </w:r>
      <w:r w:rsidR="00A55C94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C46D48">
        <w:rPr>
          <w:rFonts w:ascii="Arial" w:eastAsia="Arial" w:hAnsi="Arial" w:cs="Arial"/>
          <w:color w:val="000000"/>
          <w:sz w:val="24"/>
        </w:rPr>
        <w:t>9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095A52">
        <w:rPr>
          <w:rFonts w:ascii="Arial" w:eastAsia="Arial" w:hAnsi="Arial" w:cs="Arial"/>
          <w:sz w:val="24"/>
        </w:rPr>
        <w:t>104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C46D48">
        <w:rPr>
          <w:rFonts w:ascii="Arial" w:eastAsia="Arial" w:hAnsi="Arial" w:cs="Arial"/>
          <w:b/>
          <w:sz w:val="24"/>
        </w:rPr>
        <w:t>1 квартал</w:t>
      </w:r>
      <w:r w:rsidRPr="001F59D0">
        <w:rPr>
          <w:rFonts w:ascii="Arial" w:eastAsia="Arial" w:hAnsi="Arial" w:cs="Arial"/>
          <w:b/>
          <w:sz w:val="24"/>
        </w:rPr>
        <w:t xml:space="preserve"> 201</w:t>
      </w:r>
      <w:r w:rsidR="00C46D48">
        <w:rPr>
          <w:rFonts w:ascii="Arial" w:eastAsia="Arial" w:hAnsi="Arial" w:cs="Arial"/>
          <w:b/>
          <w:sz w:val="24"/>
        </w:rPr>
        <w:t>9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24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B66061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C46D48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C46D48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C46D48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B66061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C164D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B66061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</w:t>
            </w:r>
            <w:r w:rsidR="00F94436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72,1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575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180,9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31,5</w:t>
            </w:r>
          </w:p>
        </w:tc>
      </w:tr>
      <w:tr w:rsidR="00C46D48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C46D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Pr="007E5A1F" w:rsidRDefault="00C46D48" w:rsidP="00C46D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Pr="007E5A1F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E5A1F" w:rsidRDefault="007E5A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85,7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21,5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21,5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F94436">
              <w:rPr>
                <w:rFonts w:ascii="Arial" w:eastAsia="Arial" w:hAnsi="Arial" w:cs="Arial"/>
                <w:b/>
                <w:color w:val="000000"/>
                <w:sz w:val="24"/>
              </w:rPr>
              <w:t>9,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55,6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B0880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9443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B0880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7B0880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F9443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</w:tr>
      <w:tr w:rsidR="00CF4D81" w:rsidTr="00B66061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</w:t>
            </w:r>
            <w:r w:rsidR="00F94436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28,6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85,9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28,6</w:t>
            </w:r>
          </w:p>
        </w:tc>
      </w:tr>
      <w:tr w:rsidR="00B6606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</w:tr>
      <w:tr w:rsidR="00B6606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A19F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525,9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25110" w:rsidRDefault="003515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</w:t>
      </w:r>
    </w:p>
    <w:p w:rsidR="00CF4D81" w:rsidRDefault="00895ED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B25110">
        <w:rPr>
          <w:rFonts w:ascii="Arial" w:eastAsia="Arial" w:hAnsi="Arial" w:cs="Arial"/>
          <w:sz w:val="24"/>
        </w:rPr>
        <w:t xml:space="preserve">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09192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8F7279">
        <w:rPr>
          <w:rFonts w:ascii="Arial" w:eastAsia="Arial" w:hAnsi="Arial" w:cs="Arial"/>
          <w:color w:val="000000" w:themeColor="text1"/>
          <w:sz w:val="24"/>
        </w:rPr>
        <w:t>5</w:t>
      </w:r>
      <w:r w:rsidR="00174121">
        <w:rPr>
          <w:rFonts w:ascii="Arial" w:eastAsia="Arial" w:hAnsi="Arial" w:cs="Arial"/>
          <w:sz w:val="24"/>
        </w:rPr>
        <w:t xml:space="preserve"> </w:t>
      </w:r>
      <w:r w:rsidR="008F7279">
        <w:rPr>
          <w:rFonts w:ascii="Arial" w:eastAsia="Arial" w:hAnsi="Arial" w:cs="Arial"/>
          <w:sz w:val="24"/>
        </w:rPr>
        <w:t>м</w:t>
      </w:r>
      <w:r w:rsidR="00E47361">
        <w:rPr>
          <w:rFonts w:ascii="Arial" w:eastAsia="Arial" w:hAnsi="Arial" w:cs="Arial"/>
          <w:sz w:val="24"/>
        </w:rPr>
        <w:t>а</w:t>
      </w:r>
      <w:r w:rsidR="00F94436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E47361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г. №</w:t>
      </w:r>
      <w:r w:rsidR="008F7279">
        <w:rPr>
          <w:rFonts w:ascii="Arial" w:eastAsia="Arial" w:hAnsi="Arial" w:cs="Arial"/>
          <w:sz w:val="24"/>
        </w:rPr>
        <w:t>104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90" w:type="dxa"/>
        <w:tblInd w:w="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84"/>
        <w:gridCol w:w="8"/>
        <w:gridCol w:w="993"/>
        <w:gridCol w:w="14"/>
        <w:gridCol w:w="8"/>
        <w:gridCol w:w="970"/>
        <w:gridCol w:w="25"/>
        <w:gridCol w:w="8"/>
      </w:tblGrid>
      <w:tr w:rsidR="00CF4D81" w:rsidTr="008C1099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ельского поселения за </w:t>
            </w:r>
            <w:r w:rsidR="00E47361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E47361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644DE6" w:rsidRDefault="00644DE6" w:rsidP="00644DE6">
            <w:pPr>
              <w:spacing w:after="0" w:line="240" w:lineRule="auto"/>
              <w:jc w:val="center"/>
            </w:pPr>
          </w:p>
        </w:tc>
      </w:tr>
      <w:tr w:rsidR="00644DE6" w:rsidTr="008C1099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E47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E47361">
              <w:rPr>
                <w:rFonts w:ascii="Arial" w:hAnsi="Arial" w:cs="Arial"/>
                <w:b/>
                <w:sz w:val="24"/>
                <w:szCs w:val="24"/>
              </w:rPr>
              <w:t>1 квартал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E4736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44DE6" w:rsidTr="008C1099">
        <w:trPr>
          <w:gridBefore w:val="1"/>
          <w:wBefore w:w="8" w:type="dxa"/>
        </w:trPr>
        <w:tc>
          <w:tcPr>
            <w:tcW w:w="34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804,8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276,0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</w:t>
            </w:r>
            <w:r w:rsidR="00F94436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35</w:t>
            </w:r>
            <w:r w:rsidR="00F9443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CF4D81" w:rsidRPr="00D70F40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4736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4736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72,1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47361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</w:t>
            </w:r>
            <w:r w:rsidR="00F94436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35,9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575</w:t>
            </w:r>
            <w:r w:rsidR="00F9443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31,5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575,1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31,5</w:t>
            </w:r>
          </w:p>
        </w:tc>
      </w:tr>
      <w:tr w:rsidR="00CF4D81" w:rsidRPr="00D70F40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029F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575</w:t>
            </w:r>
            <w:r w:rsidR="00F94436">
              <w:rPr>
                <w:rFonts w:ascii="Arial" w:eastAsia="Arial" w:hAnsi="Arial" w:cs="Arial"/>
                <w:i/>
                <w:color w:val="000000"/>
                <w:sz w:val="24"/>
              </w:rPr>
              <w:t>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029F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31,5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39,5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39,5</w:t>
            </w:r>
          </w:p>
        </w:tc>
      </w:tr>
      <w:tr w:rsidR="00EF2DCC" w:rsidTr="008C1099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B029F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B029F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95ED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30,1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B029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B029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843D6F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EB029F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1461C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E1461C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1461C" w:rsidRPr="00D70F40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E1461C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1461C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</w:t>
            </w:r>
          </w:p>
        </w:tc>
      </w:tr>
      <w:tr w:rsidR="00CF4D81" w:rsidRPr="00D70F40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7627E3"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967D9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RPr="00D70F40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П89 2000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EF2DCC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627E3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21,5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102,2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21,5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21,5</w:t>
            </w:r>
          </w:p>
        </w:tc>
      </w:tr>
      <w:tr w:rsidR="00CF4D81" w:rsidRPr="00D70F40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1461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102,2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1461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1461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21,5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</w:tr>
      <w:tr w:rsidR="00EF2DCC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EF2DC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1461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E1461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9,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E1461C">
              <w:rPr>
                <w:rFonts w:ascii="Arial" w:eastAsia="Arial" w:hAnsi="Arial" w:cs="Arial"/>
                <w:b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</w:rPr>
              <w:t>9,</w:t>
            </w:r>
            <w:r w:rsidR="00E1461C"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66,2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E1461C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E1461C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i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B42ED9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2ED9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E1461C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B42ED9">
              <w:rPr>
                <w:rFonts w:ascii="Arial" w:hAnsi="Arial" w:cs="Arial"/>
                <w:i/>
                <w:sz w:val="24"/>
                <w:szCs w:val="24"/>
              </w:rPr>
              <w:t>9,</w:t>
            </w:r>
            <w:r w:rsidR="00E1461C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66,2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E1461C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E1461C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E1461C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E1461C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E1461C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E1461C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0083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</w:t>
            </w:r>
            <w:r w:rsidR="00535AC2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</w:tr>
      <w:tr w:rsidR="00B42ED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42ED9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B4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42ED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B42ED9" w:rsidP="00B42ED9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B42ED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42ED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B42ED9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Pr="00EF2DCC" w:rsidRDefault="008C1099" w:rsidP="008C1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Pr="00EF2DCC" w:rsidRDefault="008C1099" w:rsidP="008C1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RPr="00D70F40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F6A7F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F6A7F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1,3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</w:tr>
      <w:tr w:rsidR="00C164DF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64DF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 w:rsidP="000F6A7F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0F6A7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C4095" w:rsidP="000F6A7F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</w:t>
            </w:r>
            <w:r w:rsidR="000F6A7F">
              <w:rPr>
                <w:rFonts w:ascii="Arial" w:eastAsia="Arial" w:hAnsi="Arial" w:cs="Arial"/>
                <w:i/>
                <w:sz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F6A7F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6,0</w:t>
            </w:r>
          </w:p>
        </w:tc>
      </w:tr>
      <w:tr w:rsidR="00C164DF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3911C8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3911C8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3911C8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70F40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F6A7F" w:rsidP="00A96BE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="00D70F40"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D70F40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70F40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70F40" w:rsidTr="008C1099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F6A7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деятельности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0084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F6A7F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29,6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25FF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29,6</w:t>
            </w:r>
          </w:p>
        </w:tc>
      </w:tr>
      <w:tr w:rsidR="005E25FF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2C67CE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2C67CE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</w:tr>
      <w:tr w:rsidR="005E25FF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2C67CE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</w:tr>
      <w:tr w:rsidR="005E25FF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2C67CE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6F029D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</w:t>
            </w:r>
            <w:r w:rsidR="006F029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</w:tr>
      <w:tr w:rsidR="006F029D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6F029D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F029D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5E25F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8C1099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67C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67CE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67C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2C67CE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8F7279">
        <w:rPr>
          <w:rFonts w:ascii="Arial" w:eastAsia="Arial" w:hAnsi="Arial" w:cs="Arial"/>
          <w:color w:val="000000" w:themeColor="text1"/>
          <w:sz w:val="24"/>
        </w:rPr>
        <w:t>5</w:t>
      </w:r>
      <w:r>
        <w:rPr>
          <w:rFonts w:ascii="Arial" w:eastAsia="Arial" w:hAnsi="Arial" w:cs="Arial"/>
          <w:sz w:val="24"/>
        </w:rPr>
        <w:t xml:space="preserve"> </w:t>
      </w:r>
      <w:r w:rsidR="008F7279">
        <w:rPr>
          <w:rFonts w:ascii="Arial" w:eastAsia="Arial" w:hAnsi="Arial" w:cs="Arial"/>
          <w:sz w:val="24"/>
        </w:rPr>
        <w:t>м</w:t>
      </w:r>
      <w:r w:rsidR="002C67CE">
        <w:rPr>
          <w:rFonts w:ascii="Arial" w:eastAsia="Arial" w:hAnsi="Arial" w:cs="Arial"/>
          <w:sz w:val="24"/>
        </w:rPr>
        <w:t>а</w:t>
      </w:r>
      <w:r w:rsidR="00CB6100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1577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г. № </w:t>
      </w:r>
      <w:r w:rsidR="008F7279">
        <w:rPr>
          <w:rFonts w:ascii="Arial" w:eastAsia="Arial" w:hAnsi="Arial" w:cs="Arial"/>
          <w:sz w:val="24"/>
        </w:rPr>
        <w:t>104</w:t>
      </w:r>
      <w:r>
        <w:rPr>
          <w:rFonts w:ascii="Arial" w:eastAsia="Arial" w:hAnsi="Arial" w:cs="Arial"/>
          <w:sz w:val="24"/>
        </w:rPr>
        <w:t xml:space="preserve"> </w:t>
      </w: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260" w:type="dxa"/>
        <w:tblInd w:w="3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51775E">
        <w:trPr>
          <w:gridBefore w:val="1"/>
          <w:wBefore w:w="10" w:type="dxa"/>
        </w:trPr>
        <w:tc>
          <w:tcPr>
            <w:tcW w:w="92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157745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157745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236D16" w:rsidTr="0051775E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157745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1577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7745">
              <w:rPr>
                <w:rFonts w:ascii="Arial" w:hAnsi="Arial" w:cs="Arial"/>
                <w:b/>
                <w:sz w:val="24"/>
                <w:szCs w:val="24"/>
              </w:rPr>
              <w:t>квартал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15774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236D16" w:rsidTr="0051775E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34,6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1230,5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35,8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804,8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276,0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15774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35</w:t>
            </w:r>
            <w:r w:rsidR="007B797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35,9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575</w:t>
            </w:r>
            <w:r w:rsidR="007B797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575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</w:tr>
      <w:tr w:rsidR="00A96BE5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30,1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5774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5774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5774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69408F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</w:tr>
      <w:tr w:rsidR="005F7014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9408F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Pr="0069408F" w:rsidRDefault="0069408F" w:rsidP="0069408F">
            <w:pPr>
              <w:rPr>
                <w:b/>
                <w:i/>
              </w:rPr>
            </w:pPr>
            <w:r w:rsidRPr="0069408F"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69408F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174C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7976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7B797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102,2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</w:tr>
      <w:tr w:rsidR="006C414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6C4142" w:rsidP="007B79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94188B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</w:t>
            </w:r>
            <w:r w:rsidR="0094188B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94188B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9,</w:t>
            </w:r>
            <w:r w:rsidR="0094188B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55,6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 w:rsidR="0094188B">
              <w:rPr>
                <w:rFonts w:ascii="Arial" w:eastAsia="Arial" w:hAnsi="Arial" w:cs="Arial"/>
                <w:b/>
                <w:i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9,</w:t>
            </w:r>
            <w:r w:rsidR="0094188B">
              <w:rPr>
                <w:rFonts w:ascii="Arial" w:eastAsia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66,2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94188B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9,</w:t>
            </w:r>
            <w:r w:rsidR="0094188B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6525F" w:rsidRDefault="00E6525F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0083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</w:t>
            </w:r>
            <w:r w:rsidR="007000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 w:rsidP="007000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2F24A7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1775E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1775E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1775E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1,3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2B045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</w:t>
            </w:r>
            <w:r w:rsidR="002B045C">
              <w:rPr>
                <w:rFonts w:ascii="Arial" w:eastAsia="Arial" w:hAnsi="Arial" w:cs="Arial"/>
                <w:i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B04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45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B04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45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B04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45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Прочие мероприятия по благоустройству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="00084575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084575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084575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084575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2B04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2B04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F4D81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B20A3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7C2E21" w:rsidRDefault="005B20A3" w:rsidP="00345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084575" w:rsidRDefault="00E943DD" w:rsidP="003457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</w:t>
            </w:r>
            <w:r w:rsidR="0034572C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E734E3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</w:t>
            </w:r>
            <w:r w:rsidR="00E943D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8,</w:t>
            </w:r>
            <w:r w:rsidR="00E943DD">
              <w:rPr>
                <w:rFonts w:ascii="Arial" w:eastAsia="Arial" w:hAnsi="Arial" w:cs="Arial"/>
                <w:i/>
                <w:sz w:val="24"/>
              </w:rPr>
              <w:t>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73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</w:t>
            </w:r>
            <w:r w:rsidR="00E943DD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73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</w:t>
            </w:r>
            <w:r w:rsidR="005B20A3">
              <w:rPr>
                <w:rFonts w:ascii="Arial" w:eastAsia="Arial" w:hAnsi="Arial" w:cs="Arial"/>
                <w:color w:val="000000"/>
                <w:sz w:val="24"/>
              </w:rPr>
              <w:t>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</w:t>
            </w:r>
            <w:r w:rsidR="00E943DD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535AC2" w:rsidTr="0051775E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 w:rsidP="003457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</w:t>
            </w:r>
            <w:r w:rsidR="00E943DD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34572C" w:rsidTr="0051775E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34572C" w:rsidTr="0051775E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34572C" w:rsidTr="0051775E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34572C" w:rsidTr="0051775E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95A52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29,6</w:t>
            </w:r>
          </w:p>
        </w:tc>
      </w:tr>
      <w:tr w:rsidR="0034572C" w:rsidTr="0051775E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95A52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29,6</w:t>
            </w:r>
          </w:p>
        </w:tc>
      </w:tr>
      <w:tr w:rsidR="0034572C" w:rsidTr="0051775E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95A52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29,6</w:t>
            </w:r>
          </w:p>
        </w:tc>
      </w:tr>
      <w:tr w:rsidR="0034572C" w:rsidTr="0051775E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95A52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29,6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2787" w:rsidRDefault="006B27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AF6E97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 w:rsidR="00D807A6">
        <w:rPr>
          <w:rFonts w:ascii="Arial" w:eastAsia="Arial" w:hAnsi="Arial" w:cs="Arial"/>
          <w:sz w:val="24"/>
        </w:rPr>
        <w:t>Приложение 6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857828" w:rsidRPr="00857828">
        <w:rPr>
          <w:rFonts w:ascii="Arial" w:eastAsia="Arial" w:hAnsi="Arial" w:cs="Arial"/>
          <w:color w:val="000000" w:themeColor="text1"/>
          <w:sz w:val="24"/>
        </w:rPr>
        <w:t>1</w:t>
      </w:r>
      <w:r w:rsidR="008F7279">
        <w:rPr>
          <w:rFonts w:ascii="Arial" w:eastAsia="Arial" w:hAnsi="Arial" w:cs="Arial"/>
          <w:color w:val="000000" w:themeColor="text1"/>
          <w:sz w:val="24"/>
        </w:rPr>
        <w:t>5</w:t>
      </w:r>
      <w:r>
        <w:rPr>
          <w:rFonts w:ascii="Arial" w:eastAsia="Arial" w:hAnsi="Arial" w:cs="Arial"/>
          <w:sz w:val="24"/>
        </w:rPr>
        <w:t xml:space="preserve"> </w:t>
      </w:r>
      <w:r w:rsidR="008F7279">
        <w:rPr>
          <w:rFonts w:ascii="Arial" w:eastAsia="Arial" w:hAnsi="Arial" w:cs="Arial"/>
          <w:sz w:val="24"/>
        </w:rPr>
        <w:t>ма</w:t>
      </w:r>
      <w:r w:rsidR="00E734E3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095A5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г. №</w:t>
      </w:r>
      <w:r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F7279">
        <w:rPr>
          <w:rFonts w:ascii="Arial" w:eastAsia="Arial" w:hAnsi="Arial" w:cs="Arial"/>
          <w:color w:val="000000" w:themeColor="text1"/>
          <w:sz w:val="24"/>
        </w:rPr>
        <w:t>104</w:t>
      </w:r>
      <w:r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01.0</w:t>
      </w:r>
      <w:r w:rsidR="00095A52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.201</w:t>
      </w:r>
      <w:r w:rsidR="00095A5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095A5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095A5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095A52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095A52">
              <w:rPr>
                <w:rFonts w:ascii="Arial" w:eastAsia="Arial" w:hAnsi="Arial" w:cs="Arial"/>
                <w:sz w:val="24"/>
              </w:rPr>
              <w:t>1 квартал</w:t>
            </w:r>
          </w:p>
          <w:p w:rsidR="00D807A6" w:rsidRDefault="00D807A6" w:rsidP="00095A5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43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32D8F"/>
    <w:rsid w:val="00075AA8"/>
    <w:rsid w:val="00084575"/>
    <w:rsid w:val="00091924"/>
    <w:rsid w:val="00095A52"/>
    <w:rsid w:val="000F6A7F"/>
    <w:rsid w:val="001362E5"/>
    <w:rsid w:val="00157745"/>
    <w:rsid w:val="00174121"/>
    <w:rsid w:val="00174C9C"/>
    <w:rsid w:val="00177FD1"/>
    <w:rsid w:val="00186C16"/>
    <w:rsid w:val="001920FF"/>
    <w:rsid w:val="001D300E"/>
    <w:rsid w:val="001E4CB8"/>
    <w:rsid w:val="001F59D0"/>
    <w:rsid w:val="00236D16"/>
    <w:rsid w:val="002B045C"/>
    <w:rsid w:val="002B231B"/>
    <w:rsid w:val="002C0A8C"/>
    <w:rsid w:val="002C67CE"/>
    <w:rsid w:val="002D648E"/>
    <w:rsid w:val="002F24A7"/>
    <w:rsid w:val="003205BE"/>
    <w:rsid w:val="0034572C"/>
    <w:rsid w:val="00351584"/>
    <w:rsid w:val="003911C8"/>
    <w:rsid w:val="00392D2E"/>
    <w:rsid w:val="003C4095"/>
    <w:rsid w:val="003D74A6"/>
    <w:rsid w:val="004028E1"/>
    <w:rsid w:val="00433428"/>
    <w:rsid w:val="00436EC0"/>
    <w:rsid w:val="00453193"/>
    <w:rsid w:val="004B6C66"/>
    <w:rsid w:val="004D3A1F"/>
    <w:rsid w:val="0051775E"/>
    <w:rsid w:val="00535AC2"/>
    <w:rsid w:val="005B20A3"/>
    <w:rsid w:val="005C03FA"/>
    <w:rsid w:val="005E25FF"/>
    <w:rsid w:val="005F7014"/>
    <w:rsid w:val="00644DE6"/>
    <w:rsid w:val="00673129"/>
    <w:rsid w:val="0069408F"/>
    <w:rsid w:val="006B2787"/>
    <w:rsid w:val="006C41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A57D5"/>
    <w:rsid w:val="007B0880"/>
    <w:rsid w:val="007B7976"/>
    <w:rsid w:val="007C2E21"/>
    <w:rsid w:val="007E5A1F"/>
    <w:rsid w:val="00843D6F"/>
    <w:rsid w:val="00857828"/>
    <w:rsid w:val="00864168"/>
    <w:rsid w:val="00886A36"/>
    <w:rsid w:val="00895EDF"/>
    <w:rsid w:val="008B54AA"/>
    <w:rsid w:val="008C1099"/>
    <w:rsid w:val="008F7279"/>
    <w:rsid w:val="009111CE"/>
    <w:rsid w:val="0094188B"/>
    <w:rsid w:val="00966D4D"/>
    <w:rsid w:val="00967D91"/>
    <w:rsid w:val="009726AE"/>
    <w:rsid w:val="00992C6D"/>
    <w:rsid w:val="009B24DD"/>
    <w:rsid w:val="009B6098"/>
    <w:rsid w:val="009C56AC"/>
    <w:rsid w:val="00A334BA"/>
    <w:rsid w:val="00A55C94"/>
    <w:rsid w:val="00A773D3"/>
    <w:rsid w:val="00A968AC"/>
    <w:rsid w:val="00A96BE5"/>
    <w:rsid w:val="00AA012F"/>
    <w:rsid w:val="00AB7BC5"/>
    <w:rsid w:val="00AF206A"/>
    <w:rsid w:val="00AF6E97"/>
    <w:rsid w:val="00B0756A"/>
    <w:rsid w:val="00B25110"/>
    <w:rsid w:val="00B42ED9"/>
    <w:rsid w:val="00B66061"/>
    <w:rsid w:val="00B732CE"/>
    <w:rsid w:val="00B75373"/>
    <w:rsid w:val="00BD2A7B"/>
    <w:rsid w:val="00C164DF"/>
    <w:rsid w:val="00C35471"/>
    <w:rsid w:val="00C46D48"/>
    <w:rsid w:val="00C617B9"/>
    <w:rsid w:val="00C90665"/>
    <w:rsid w:val="00CB6100"/>
    <w:rsid w:val="00CF4D81"/>
    <w:rsid w:val="00D66D66"/>
    <w:rsid w:val="00D70F40"/>
    <w:rsid w:val="00D75DB9"/>
    <w:rsid w:val="00D807A6"/>
    <w:rsid w:val="00E05316"/>
    <w:rsid w:val="00E06A5F"/>
    <w:rsid w:val="00E1461C"/>
    <w:rsid w:val="00E23D0C"/>
    <w:rsid w:val="00E47361"/>
    <w:rsid w:val="00E6525F"/>
    <w:rsid w:val="00E734E3"/>
    <w:rsid w:val="00E943DD"/>
    <w:rsid w:val="00EB029F"/>
    <w:rsid w:val="00EB59F9"/>
    <w:rsid w:val="00ED5EB2"/>
    <w:rsid w:val="00EF2DCC"/>
    <w:rsid w:val="00F94436"/>
    <w:rsid w:val="00FA6C2C"/>
    <w:rsid w:val="00FD1129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B5A4-9D3B-476C-9796-0CAB3E7A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6710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10</cp:revision>
  <cp:lastPrinted>2019-05-29T09:37:00Z</cp:lastPrinted>
  <dcterms:created xsi:type="dcterms:W3CDTF">2019-05-16T11:50:00Z</dcterms:created>
  <dcterms:modified xsi:type="dcterms:W3CDTF">2019-05-31T07:00:00Z</dcterms:modified>
</cp:coreProperties>
</file>