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:rsidTr="008A1C4A">
        <w:trPr>
          <w:cantSplit/>
          <w:trHeight w:val="567"/>
        </w:trPr>
        <w:tc>
          <w:tcPr>
            <w:tcW w:w="1581" w:type="dxa"/>
            <w:noWrap/>
          </w:tcPr>
          <w:p w:rsidR="001F5899" w:rsidRPr="00335618" w:rsidRDefault="001F5899" w:rsidP="001600A6">
            <w:pPr>
              <w:spacing w:after="0" w:line="240" w:lineRule="auto"/>
              <w:rPr>
                <w:rFonts w:ascii="EanGnivc" w:hAnsi="EanGnivc"/>
                <w:sz w:val="52"/>
                <w:szCs w:val="52"/>
                <w:lang w:val="en-US"/>
              </w:rPr>
            </w:pPr>
          </w:p>
        </w:tc>
      </w:tr>
    </w:tbl>
    <w:p w:rsidR="00FF591C" w:rsidRDefault="00FF591C" w:rsidP="00D359F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1459" w:rsidRPr="00F91459" w:rsidRDefault="00F91459" w:rsidP="00F91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45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676938D" wp14:editId="1E077A91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459" w:rsidRPr="00F91459" w:rsidRDefault="00F91459" w:rsidP="00F91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F91459" w:rsidRPr="00F91459" w:rsidRDefault="00F91459" w:rsidP="00F91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:rsidR="00F91459" w:rsidRPr="00F91459" w:rsidRDefault="00F91459" w:rsidP="00F914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ТРОСНЯНСКОГО РАЙОНА</w:t>
      </w:r>
    </w:p>
    <w:p w:rsidR="00F91459" w:rsidRPr="00F91459" w:rsidRDefault="00F91459" w:rsidP="00F91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91459" w:rsidRPr="00F91459" w:rsidRDefault="00F91459" w:rsidP="00F9145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91459" w:rsidRPr="00C74867" w:rsidRDefault="00C74867" w:rsidP="00F9145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74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ноября </w:t>
      </w:r>
      <w:r w:rsidR="00F91459" w:rsidRPr="00C74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г.                        </w:t>
      </w:r>
      <w:r w:rsidRPr="00C74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F91459" w:rsidRPr="00C74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№ </w:t>
      </w:r>
      <w:r w:rsidRPr="00C74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477</w:t>
      </w:r>
    </w:p>
    <w:bookmarkEnd w:id="0"/>
    <w:p w:rsidR="00D359FF" w:rsidRPr="00F91459" w:rsidRDefault="00F238AE" w:rsidP="00C46B51">
      <w:pPr>
        <w:spacing w:after="0" w:line="240" w:lineRule="exact"/>
        <w:ind w:right="3968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F91459">
        <w:rPr>
          <w:rFonts w:ascii="Times New Roman" w:eastAsia="Arial" w:hAnsi="Times New Roman" w:cs="Times New Roman"/>
          <w:b/>
          <w:sz w:val="28"/>
          <w:szCs w:val="28"/>
        </w:rPr>
        <w:t xml:space="preserve">Об утверждении порядка ведения реестра межведомственных и внутриведомственных процессов в администрации </w:t>
      </w:r>
      <w:proofErr w:type="spellStart"/>
      <w:r w:rsidRPr="00F91459">
        <w:rPr>
          <w:rFonts w:ascii="Times New Roman" w:eastAsia="Arial" w:hAnsi="Times New Roman" w:cs="Times New Roman"/>
          <w:b/>
          <w:sz w:val="28"/>
          <w:szCs w:val="28"/>
        </w:rPr>
        <w:t>Троснянского</w:t>
      </w:r>
      <w:proofErr w:type="spellEnd"/>
      <w:r w:rsidRPr="00F91459">
        <w:rPr>
          <w:rFonts w:ascii="Times New Roman" w:eastAsia="Arial" w:hAnsi="Times New Roman" w:cs="Times New Roman"/>
          <w:b/>
          <w:sz w:val="28"/>
          <w:szCs w:val="28"/>
        </w:rPr>
        <w:t xml:space="preserve"> района Орловской области</w:t>
      </w:r>
    </w:p>
    <w:p w:rsidR="00D359FF" w:rsidRPr="00D359FF" w:rsidRDefault="00D359FF" w:rsidP="00D359FF">
      <w:pPr>
        <w:pStyle w:val="a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6B51" w:rsidRPr="00F238AE" w:rsidRDefault="00D359FF" w:rsidP="00C46B51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9FF">
        <w:rPr>
          <w:rFonts w:ascii="Times New Roman" w:hAnsi="Times New Roman" w:cs="Times New Roman"/>
          <w:sz w:val="28"/>
          <w:szCs w:val="28"/>
        </w:rPr>
        <w:t xml:space="preserve">  </w:t>
      </w:r>
      <w:r w:rsidR="00C46B51" w:rsidRPr="00D359FF">
        <w:rPr>
          <w:rFonts w:ascii="Times New Roman" w:hAnsi="Times New Roman" w:cs="Times New Roman"/>
          <w:sz w:val="28"/>
          <w:szCs w:val="28"/>
        </w:rPr>
        <w:t xml:space="preserve">  </w:t>
      </w:r>
      <w:r w:rsidR="00C46B51" w:rsidRPr="00F238AE">
        <w:rPr>
          <w:rFonts w:ascii="Times New Roman" w:hAnsi="Times New Roman" w:cs="Times New Roman"/>
          <w:sz w:val="28"/>
          <w:szCs w:val="28"/>
        </w:rPr>
        <w:t xml:space="preserve">В целях внедрения принципов и стандартов </w:t>
      </w:r>
      <w:proofErr w:type="spellStart"/>
      <w:r w:rsidR="00C46B51" w:rsidRPr="00F238AE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="00C46B51" w:rsidRPr="00F238AE">
        <w:rPr>
          <w:rFonts w:ascii="Times New Roman" w:hAnsi="Times New Roman" w:cs="Times New Roman"/>
          <w:sz w:val="28"/>
          <w:szCs w:val="28"/>
        </w:rPr>
        <w:t xml:space="preserve"> в деятельность органов местного самоуправления администрации </w:t>
      </w:r>
      <w:proofErr w:type="spellStart"/>
      <w:r w:rsidR="00C46B51" w:rsidRPr="00F238AE">
        <w:rPr>
          <w:rFonts w:ascii="Times New Roman" w:eastAsia="Arial" w:hAnsi="Times New Roman" w:cs="Times New Roman"/>
          <w:sz w:val="28"/>
          <w:szCs w:val="28"/>
        </w:rPr>
        <w:t>Троснянского</w:t>
      </w:r>
      <w:proofErr w:type="spellEnd"/>
      <w:r w:rsidR="00C46B51" w:rsidRPr="00F238A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46B51" w:rsidRPr="00F238AE">
        <w:rPr>
          <w:rFonts w:ascii="Times New Roman" w:hAnsi="Times New Roman" w:cs="Times New Roman"/>
          <w:sz w:val="28"/>
          <w:szCs w:val="28"/>
        </w:rPr>
        <w:t xml:space="preserve">района Орловской области и в соответствии с федеральным проектом "Государство для людей", распоряжением Правительства Российской Федерации от 6 октября 2021 года N 2816-р "Об утверждении перечня инициатив социально-экономического развития Российской Федерации до 2030 года" администрация </w:t>
      </w:r>
      <w:proofErr w:type="spellStart"/>
      <w:r w:rsidR="00C46B51" w:rsidRPr="00F238AE">
        <w:rPr>
          <w:rFonts w:ascii="Times New Roman" w:eastAsia="Arial" w:hAnsi="Times New Roman" w:cs="Times New Roman"/>
          <w:sz w:val="28"/>
          <w:szCs w:val="28"/>
        </w:rPr>
        <w:t>Троснянского</w:t>
      </w:r>
      <w:proofErr w:type="spellEnd"/>
      <w:r w:rsidR="00C46B51" w:rsidRPr="00F238A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46B51" w:rsidRPr="00F238AE">
        <w:rPr>
          <w:rFonts w:ascii="Times New Roman" w:hAnsi="Times New Roman" w:cs="Times New Roman"/>
          <w:sz w:val="28"/>
          <w:szCs w:val="28"/>
        </w:rPr>
        <w:t>района постановляет:</w:t>
      </w:r>
    </w:p>
    <w:p w:rsidR="00F238AE" w:rsidRDefault="00C46B51" w:rsidP="00C46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38AE" w:rsidRPr="00F238AE">
        <w:rPr>
          <w:rFonts w:ascii="Times New Roman" w:hAnsi="Times New Roman" w:cs="Times New Roman"/>
          <w:sz w:val="28"/>
          <w:szCs w:val="28"/>
        </w:rPr>
        <w:t xml:space="preserve">. Утвердить Порядок ведения реестра межведомственных и внутриведомственных процессов администрации </w:t>
      </w:r>
      <w:proofErr w:type="spellStart"/>
      <w:r w:rsidR="00F238AE" w:rsidRPr="00F238AE">
        <w:rPr>
          <w:rFonts w:ascii="Times New Roman" w:eastAsia="Arial" w:hAnsi="Times New Roman" w:cs="Times New Roman"/>
          <w:sz w:val="28"/>
          <w:szCs w:val="28"/>
        </w:rPr>
        <w:t>Троснянского</w:t>
      </w:r>
      <w:proofErr w:type="spellEnd"/>
      <w:r w:rsidR="00F238AE" w:rsidRPr="00F238A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238AE" w:rsidRPr="00F238AE">
        <w:rPr>
          <w:rFonts w:ascii="Times New Roman" w:hAnsi="Times New Roman" w:cs="Times New Roman"/>
          <w:sz w:val="28"/>
          <w:szCs w:val="28"/>
        </w:rPr>
        <w:t>района согласно приложению.</w:t>
      </w:r>
    </w:p>
    <w:p w:rsidR="00C46B51" w:rsidRPr="00C46B51" w:rsidRDefault="00C46B51" w:rsidP="00C46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985E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85E42" w:rsidRPr="00985E4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Pr="00C4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в сети Интернет.</w:t>
      </w:r>
    </w:p>
    <w:p w:rsidR="00BB7CCD" w:rsidRDefault="00C46B51" w:rsidP="00F238AE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38AE" w:rsidRPr="00F238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238AE" w:rsidRPr="00F238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238AE" w:rsidRPr="00F238A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C74867">
        <w:rPr>
          <w:rFonts w:ascii="Times New Roman" w:hAnsi="Times New Roman" w:cs="Times New Roman"/>
          <w:sz w:val="28"/>
          <w:szCs w:val="28"/>
        </w:rPr>
        <w:t>постановления</w:t>
      </w:r>
      <w:r w:rsidR="00F238AE" w:rsidRPr="00F238AE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</w:t>
      </w:r>
      <w:proofErr w:type="spellStart"/>
      <w:r w:rsidR="00F238AE" w:rsidRPr="00F238AE">
        <w:rPr>
          <w:rFonts w:ascii="Times New Roman" w:eastAsia="Arial" w:hAnsi="Times New Roman" w:cs="Times New Roman"/>
          <w:sz w:val="28"/>
          <w:szCs w:val="28"/>
        </w:rPr>
        <w:t>Троснянского</w:t>
      </w:r>
      <w:proofErr w:type="spellEnd"/>
      <w:r w:rsidR="00F238AE" w:rsidRPr="00F238A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238AE" w:rsidRPr="00F238AE">
        <w:rPr>
          <w:rFonts w:ascii="Times New Roman" w:hAnsi="Times New Roman" w:cs="Times New Roman"/>
          <w:sz w:val="28"/>
          <w:szCs w:val="28"/>
        </w:rPr>
        <w:t>района по социальн</w:t>
      </w:r>
      <w:r w:rsidR="00F238AE">
        <w:rPr>
          <w:rFonts w:ascii="Times New Roman" w:hAnsi="Times New Roman" w:cs="Times New Roman"/>
          <w:sz w:val="28"/>
          <w:szCs w:val="28"/>
        </w:rPr>
        <w:t>ым</w:t>
      </w:r>
      <w:r w:rsidR="00F238AE" w:rsidRPr="00F238AE">
        <w:rPr>
          <w:rFonts w:ascii="Times New Roman" w:hAnsi="Times New Roman" w:cs="Times New Roman"/>
          <w:sz w:val="28"/>
          <w:szCs w:val="28"/>
        </w:rPr>
        <w:t xml:space="preserve"> вопросам.</w:t>
      </w:r>
    </w:p>
    <w:p w:rsidR="00F238AE" w:rsidRDefault="00F238AE" w:rsidP="00F238AE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E42" w:rsidRDefault="00985E42" w:rsidP="002E07AC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E42" w:rsidRDefault="00985E42" w:rsidP="002E07AC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09FA" w:rsidRPr="00C46B51" w:rsidRDefault="00BB7CCD" w:rsidP="002E07AC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B5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238AE" w:rsidRPr="00C46B51">
        <w:rPr>
          <w:rFonts w:ascii="Times New Roman" w:hAnsi="Times New Roman" w:cs="Times New Roman"/>
          <w:b/>
          <w:sz w:val="28"/>
          <w:szCs w:val="28"/>
        </w:rPr>
        <w:t>район</w:t>
      </w:r>
      <w:r w:rsidR="00C74867">
        <w:rPr>
          <w:rFonts w:ascii="Times New Roman" w:hAnsi="Times New Roman" w:cs="Times New Roman"/>
          <w:b/>
          <w:sz w:val="28"/>
          <w:szCs w:val="28"/>
        </w:rPr>
        <w:t>а</w:t>
      </w:r>
      <w:r w:rsidRPr="00C46B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F238AE" w:rsidRPr="00C46B51">
        <w:rPr>
          <w:rFonts w:ascii="Times New Roman" w:hAnsi="Times New Roman" w:cs="Times New Roman"/>
          <w:b/>
          <w:sz w:val="28"/>
          <w:szCs w:val="28"/>
        </w:rPr>
        <w:t xml:space="preserve">                         А.В. </w:t>
      </w:r>
      <w:proofErr w:type="spellStart"/>
      <w:r w:rsidR="00F238AE" w:rsidRPr="00C46B51">
        <w:rPr>
          <w:rFonts w:ascii="Times New Roman" w:hAnsi="Times New Roman" w:cs="Times New Roman"/>
          <w:b/>
          <w:sz w:val="28"/>
          <w:szCs w:val="28"/>
        </w:rPr>
        <w:t>Левковский</w:t>
      </w:r>
      <w:proofErr w:type="spellEnd"/>
    </w:p>
    <w:p w:rsidR="004A532B" w:rsidRDefault="004A532B" w:rsidP="002E07A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B51" w:rsidRDefault="00C46B51" w:rsidP="00F238AE">
      <w:pPr>
        <w:pStyle w:val="ConsPlusNormal"/>
        <w:jc w:val="right"/>
        <w:outlineLvl w:val="0"/>
      </w:pPr>
    </w:p>
    <w:p w:rsidR="00C46B51" w:rsidRDefault="00C46B51" w:rsidP="00F238AE">
      <w:pPr>
        <w:pStyle w:val="ConsPlusNormal"/>
        <w:jc w:val="right"/>
        <w:outlineLvl w:val="0"/>
      </w:pPr>
    </w:p>
    <w:p w:rsidR="00C46B51" w:rsidRDefault="00C46B51" w:rsidP="00F238AE">
      <w:pPr>
        <w:pStyle w:val="ConsPlusNormal"/>
        <w:jc w:val="right"/>
        <w:outlineLvl w:val="0"/>
      </w:pPr>
    </w:p>
    <w:p w:rsidR="00C46B51" w:rsidRDefault="00C46B51" w:rsidP="00F238AE">
      <w:pPr>
        <w:pStyle w:val="ConsPlusNormal"/>
        <w:jc w:val="right"/>
        <w:outlineLvl w:val="0"/>
      </w:pPr>
    </w:p>
    <w:p w:rsidR="00C46B51" w:rsidRDefault="00C46B51" w:rsidP="00F238AE">
      <w:pPr>
        <w:pStyle w:val="ConsPlusNormal"/>
        <w:jc w:val="right"/>
        <w:outlineLvl w:val="0"/>
      </w:pPr>
    </w:p>
    <w:p w:rsidR="00C46B51" w:rsidRDefault="00C46B51" w:rsidP="00F238AE">
      <w:pPr>
        <w:pStyle w:val="ConsPlusNormal"/>
        <w:jc w:val="right"/>
        <w:outlineLvl w:val="0"/>
      </w:pPr>
    </w:p>
    <w:p w:rsidR="00C46B51" w:rsidRDefault="00C46B51" w:rsidP="00F238AE">
      <w:pPr>
        <w:pStyle w:val="ConsPlusNormal"/>
        <w:jc w:val="right"/>
        <w:outlineLvl w:val="0"/>
      </w:pPr>
    </w:p>
    <w:p w:rsidR="00C46B51" w:rsidRDefault="00C46B51" w:rsidP="00F238AE">
      <w:pPr>
        <w:pStyle w:val="ConsPlusNormal"/>
        <w:jc w:val="right"/>
        <w:outlineLvl w:val="0"/>
      </w:pPr>
    </w:p>
    <w:p w:rsidR="00C46B51" w:rsidRDefault="00C46B51" w:rsidP="00F238AE">
      <w:pPr>
        <w:pStyle w:val="ConsPlusNormal"/>
        <w:jc w:val="right"/>
        <w:outlineLvl w:val="0"/>
      </w:pPr>
    </w:p>
    <w:p w:rsidR="00985E42" w:rsidRDefault="00985E42" w:rsidP="00F238AE">
      <w:pPr>
        <w:pStyle w:val="ConsPlusNormal"/>
        <w:jc w:val="right"/>
        <w:outlineLvl w:val="0"/>
      </w:pPr>
    </w:p>
    <w:p w:rsidR="00F238AE" w:rsidRDefault="00F238AE" w:rsidP="00F238AE">
      <w:pPr>
        <w:pStyle w:val="ConsPlusNormal"/>
        <w:jc w:val="right"/>
        <w:outlineLvl w:val="0"/>
      </w:pPr>
      <w:r>
        <w:t>Приложение</w:t>
      </w:r>
    </w:p>
    <w:p w:rsidR="00F238AE" w:rsidRDefault="00F238AE" w:rsidP="00F238AE">
      <w:pPr>
        <w:pStyle w:val="ConsPlusNormal"/>
        <w:jc w:val="right"/>
      </w:pPr>
      <w:r>
        <w:t>к постановлению</w:t>
      </w:r>
    </w:p>
    <w:p w:rsidR="00F238AE" w:rsidRDefault="00F238AE" w:rsidP="00F238AE">
      <w:pPr>
        <w:pStyle w:val="ConsPlusNormal"/>
        <w:jc w:val="right"/>
      </w:pPr>
      <w:r>
        <w:t xml:space="preserve">Администрации </w:t>
      </w:r>
      <w:proofErr w:type="spellStart"/>
      <w:r>
        <w:t>Троснянского</w:t>
      </w:r>
      <w:proofErr w:type="spellEnd"/>
      <w:r>
        <w:t xml:space="preserve"> района</w:t>
      </w:r>
    </w:p>
    <w:p w:rsidR="00F238AE" w:rsidRDefault="00F238AE" w:rsidP="00F238AE">
      <w:pPr>
        <w:pStyle w:val="ConsPlusNormal"/>
        <w:ind w:firstLine="540"/>
        <w:jc w:val="both"/>
      </w:pPr>
    </w:p>
    <w:p w:rsidR="00F238AE" w:rsidRPr="00985E42" w:rsidRDefault="00F238AE" w:rsidP="00985E4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985E42">
        <w:rPr>
          <w:rFonts w:ascii="Times New Roman" w:hAnsi="Times New Roman" w:cs="Times New Roman"/>
          <w:sz w:val="28"/>
          <w:szCs w:val="28"/>
        </w:rPr>
        <w:t>ПОРЯДОК</w:t>
      </w:r>
    </w:p>
    <w:p w:rsidR="00F238AE" w:rsidRPr="00985E42" w:rsidRDefault="00F238AE" w:rsidP="00985E4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5E42">
        <w:rPr>
          <w:rFonts w:ascii="Times New Roman" w:hAnsi="Times New Roman" w:cs="Times New Roman"/>
          <w:sz w:val="28"/>
          <w:szCs w:val="28"/>
        </w:rPr>
        <w:t>ВЕДЕНИЯ РЕЕСТРА МЕЖВЕДОМСТВЕННЫХ И ВНУТРИВЕДОМСТВЕННЫХ</w:t>
      </w:r>
      <w:r w:rsidR="00985E42">
        <w:rPr>
          <w:rFonts w:ascii="Times New Roman" w:hAnsi="Times New Roman" w:cs="Times New Roman"/>
          <w:sz w:val="28"/>
          <w:szCs w:val="28"/>
        </w:rPr>
        <w:t xml:space="preserve"> </w:t>
      </w:r>
      <w:r w:rsidRPr="00985E42">
        <w:rPr>
          <w:rFonts w:ascii="Times New Roman" w:hAnsi="Times New Roman" w:cs="Times New Roman"/>
          <w:sz w:val="28"/>
          <w:szCs w:val="28"/>
        </w:rPr>
        <w:t>ПРОЦЕССОВ АДМИНИСТРАЦИИ ТРОСНЯНСКОГО РАЙОНА ОРЛОВСКОЙ ОБЛАСТИ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</w:p>
    <w:p w:rsidR="00F238AE" w:rsidRPr="00985E42" w:rsidRDefault="00F238AE" w:rsidP="00985E4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E4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 xml:space="preserve">1.1. Порядок ведения реестра межведомственных и внутриведомственных процессов администрации </w:t>
      </w:r>
      <w:proofErr w:type="spellStart"/>
      <w:r w:rsidRPr="00985E42">
        <w:rPr>
          <w:sz w:val="28"/>
          <w:szCs w:val="28"/>
        </w:rPr>
        <w:t>Троснянского</w:t>
      </w:r>
      <w:proofErr w:type="spellEnd"/>
      <w:r w:rsidRPr="00985E42">
        <w:rPr>
          <w:sz w:val="28"/>
          <w:szCs w:val="28"/>
        </w:rPr>
        <w:t xml:space="preserve"> района Орловской области (далее - Порядок, Реестр процессов и Администрация соответственно) определяет правила формирования и ведения Реестра процессов Администрации, его структуру и варианты содержания, а также сотрудников (структурные подразделения) Администрации, ответственных за контроль его своевременной актуализации и хранение.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1.2. Реестр процессов представляет собой документ, содержащий структурированную информацию о деятельности Администрации, делящейся на процессы; является динамическим документом и подлежит периодической актуализации, хранится в электронном виде у держателя Реестра.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 xml:space="preserve">1.3. Реестр процессов формируется с целью определения и систематизации данных о межведомственных и внутриведомственных процессах Администрации, контроля проведения их реинжиниринга в соответствии с принципами и стандартами </w:t>
      </w:r>
      <w:proofErr w:type="spellStart"/>
      <w:r w:rsidRPr="00985E42">
        <w:rPr>
          <w:sz w:val="28"/>
          <w:szCs w:val="28"/>
        </w:rPr>
        <w:t>клиентоцентричности</w:t>
      </w:r>
      <w:proofErr w:type="spellEnd"/>
      <w:r w:rsidRPr="00985E42">
        <w:rPr>
          <w:sz w:val="28"/>
          <w:szCs w:val="28"/>
        </w:rPr>
        <w:t xml:space="preserve">, а также для формирования сведений об уровне внедрения </w:t>
      </w:r>
      <w:proofErr w:type="spellStart"/>
      <w:r w:rsidRPr="00985E42">
        <w:rPr>
          <w:sz w:val="28"/>
          <w:szCs w:val="28"/>
        </w:rPr>
        <w:t>клиентоцентричности</w:t>
      </w:r>
      <w:proofErr w:type="spellEnd"/>
      <w:r w:rsidRPr="00985E42">
        <w:rPr>
          <w:sz w:val="28"/>
          <w:szCs w:val="28"/>
        </w:rPr>
        <w:t xml:space="preserve"> в Администрации.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1.4. В настоящем Порядке используются следующие термины и понятия.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Владелец процесса - должностное лицо, которое имеет в своем распоряжении выделенные ресурсы, управляет ходом процесса и несет ответственность за результаты и эффективность процесса.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Внутриведомственный процесс - процесс, в котором участвует несколько структурных подразделений Администрации.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Держатель Реестра - ответственное лицо, которое обеспечивает поддержание Реестра процессов в актуальном состоянии и доступ к нему всех заинтересованных лиц.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ЕПГУ - единый портал государственных и муниципальных услуг Российской Федерации.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Жизненная ситуация - наличие или наступление обстоятельств, влекущих для клиента возможность или необходимость взаимодействовать с Администрацией в целях получения услуг и сервисов.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985E42">
        <w:rPr>
          <w:sz w:val="28"/>
          <w:szCs w:val="28"/>
        </w:rPr>
        <w:t>Клиентоцентричность</w:t>
      </w:r>
      <w:proofErr w:type="spellEnd"/>
      <w:r w:rsidRPr="00985E42">
        <w:rPr>
          <w:sz w:val="28"/>
          <w:szCs w:val="28"/>
        </w:rPr>
        <w:t xml:space="preserve"> - подход в государственном и муниципальном управлении, основанный на выявлении и изучении потребностей клиента, постоянном улучшении взаимодействия Администрации с клиентом для удовлетворения его потребностей с намерением превзойти его ожидания.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lastRenderedPageBreak/>
        <w:t>Конечный клиент - клиент, использующий результат процесса.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Межведомственный процесс - процесс, в выполнении которого принимают участие сотрудники нескольких органов местного самоуправления муниципальных образований Орловской области.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Процесс - повторяемая совокупность логически взаимосвязанных действий и процедур, направленных на осуществление Администрацией своих полномочий при взаимодействии с клиентом.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Реестр процессов - совокупность всех взаимосвязанных и (или) взаимодействующих процессов, идентифицированных в Администрации, представленная в виде справочника.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 xml:space="preserve">Реинжиниринг - деятельность, основанная на методологии и технологиях, направленная на реформирование, проектирование или перепроектирование процессов в целях оптимизации деятельности Администрации для обеспечения соответствия требованиям стандартов </w:t>
      </w:r>
      <w:proofErr w:type="spellStart"/>
      <w:r w:rsidRPr="00985E42">
        <w:rPr>
          <w:sz w:val="28"/>
          <w:szCs w:val="28"/>
        </w:rPr>
        <w:t>клиентоцентричности</w:t>
      </w:r>
      <w:proofErr w:type="spellEnd"/>
      <w:r w:rsidRPr="00985E42">
        <w:rPr>
          <w:sz w:val="28"/>
          <w:szCs w:val="28"/>
        </w:rPr>
        <w:t>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85E42">
        <w:rPr>
          <w:sz w:val="28"/>
          <w:szCs w:val="28"/>
        </w:rPr>
        <w:t xml:space="preserve">Типовой перечень процессов - перечень процессов, содержащий процессы, которые потенциально могут осуществляться в Администрации и имеют ценность для конечного клиента, который составлен с использованием методических рекомендаций АНО "Аналитический центр при Правительстве Российской Федерации" по формированию реестра процессов, утвержденных протоколом заседания Межведомственной рабочей группы по внедрению </w:t>
      </w:r>
      <w:proofErr w:type="spellStart"/>
      <w:r w:rsidRPr="00985E42">
        <w:rPr>
          <w:sz w:val="28"/>
          <w:szCs w:val="28"/>
        </w:rPr>
        <w:t>клиентоцентричности</w:t>
      </w:r>
      <w:proofErr w:type="spellEnd"/>
      <w:r w:rsidRPr="00985E42">
        <w:rPr>
          <w:sz w:val="28"/>
          <w:szCs w:val="28"/>
        </w:rPr>
        <w:t xml:space="preserve"> в государственное управление от 6 июля 2023 года N 66-АХ.</w:t>
      </w:r>
      <w:proofErr w:type="gramEnd"/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Ценность - это степень, в которой продукт, услуга или функция соответствует потребностям, ожиданиям и требованиям конечного клиента, а также приносит пользу и удовлетворение.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</w:p>
    <w:p w:rsidR="00F238AE" w:rsidRPr="00985E42" w:rsidRDefault="00F238AE" w:rsidP="00985E4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E42">
        <w:rPr>
          <w:rFonts w:ascii="Times New Roman" w:hAnsi="Times New Roman" w:cs="Times New Roman"/>
          <w:sz w:val="28"/>
          <w:szCs w:val="28"/>
        </w:rPr>
        <w:t>II. Порядок формирования и ведения Реестра процессов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 xml:space="preserve">2.1. </w:t>
      </w:r>
      <w:r w:rsidRPr="00DD5916">
        <w:rPr>
          <w:sz w:val="28"/>
          <w:szCs w:val="28"/>
        </w:rPr>
        <w:t>Ответственным структурным подразделением Администрации за формирование первоначальной версии Реестра процессов является отдел организационн</w:t>
      </w:r>
      <w:r w:rsidR="00925F08" w:rsidRPr="00DD5916">
        <w:rPr>
          <w:sz w:val="28"/>
          <w:szCs w:val="28"/>
        </w:rPr>
        <w:t>о-</w:t>
      </w:r>
      <w:r w:rsidRPr="00DD5916">
        <w:rPr>
          <w:sz w:val="28"/>
          <w:szCs w:val="28"/>
        </w:rPr>
        <w:t xml:space="preserve">кадровой работы </w:t>
      </w:r>
      <w:r w:rsidR="00925F08" w:rsidRPr="00DD5916">
        <w:rPr>
          <w:sz w:val="28"/>
          <w:szCs w:val="28"/>
        </w:rPr>
        <w:t xml:space="preserve">и делопроизводства </w:t>
      </w:r>
      <w:r w:rsidRPr="00DD5916">
        <w:rPr>
          <w:sz w:val="28"/>
          <w:szCs w:val="28"/>
        </w:rPr>
        <w:t xml:space="preserve">администрации </w:t>
      </w:r>
      <w:proofErr w:type="spellStart"/>
      <w:r w:rsidRPr="00DD5916">
        <w:rPr>
          <w:sz w:val="28"/>
          <w:szCs w:val="28"/>
        </w:rPr>
        <w:t>Троснянского</w:t>
      </w:r>
      <w:proofErr w:type="spellEnd"/>
      <w:r w:rsidRPr="00DD5916">
        <w:rPr>
          <w:sz w:val="28"/>
          <w:szCs w:val="28"/>
        </w:rPr>
        <w:t xml:space="preserve"> района Орловской области.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2.2. Первоначальная версия Реестра процессов утверждается распоряжением Администрации.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 xml:space="preserve">2.3. Реестр процессов формируется и ведется в электронном виде посредством программного обеспечения и программных продуктов </w:t>
      </w:r>
      <w:proofErr w:type="spellStart"/>
      <w:r w:rsidRPr="00985E42">
        <w:rPr>
          <w:sz w:val="28"/>
          <w:szCs w:val="28"/>
        </w:rPr>
        <w:t>Microsoft</w:t>
      </w:r>
      <w:proofErr w:type="spellEnd"/>
      <w:r w:rsidRPr="00985E42">
        <w:rPr>
          <w:sz w:val="28"/>
          <w:szCs w:val="28"/>
        </w:rPr>
        <w:t xml:space="preserve"> </w:t>
      </w:r>
      <w:proofErr w:type="spellStart"/>
      <w:r w:rsidRPr="00985E42">
        <w:rPr>
          <w:sz w:val="28"/>
          <w:szCs w:val="28"/>
        </w:rPr>
        <w:t>Excel</w:t>
      </w:r>
      <w:proofErr w:type="spellEnd"/>
      <w:r w:rsidRPr="00985E42">
        <w:rPr>
          <w:sz w:val="28"/>
          <w:szCs w:val="28"/>
        </w:rPr>
        <w:t xml:space="preserve"> по </w:t>
      </w:r>
      <w:hyperlink w:anchor="P107" w:tooltip="Форма реестра">
        <w:r w:rsidRPr="00985E42">
          <w:rPr>
            <w:color w:val="000000" w:themeColor="text1"/>
            <w:sz w:val="28"/>
            <w:szCs w:val="28"/>
          </w:rPr>
          <w:t>форме</w:t>
        </w:r>
      </w:hyperlink>
      <w:r w:rsidRPr="00985E42">
        <w:rPr>
          <w:sz w:val="28"/>
          <w:szCs w:val="28"/>
        </w:rPr>
        <w:t xml:space="preserve"> согласно приложению 1 к настоящему Порядку.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 xml:space="preserve">2.4. Держателем Реестра является сотрудник </w:t>
      </w:r>
      <w:r w:rsidR="00925F08" w:rsidRPr="00985E42">
        <w:rPr>
          <w:sz w:val="28"/>
          <w:szCs w:val="28"/>
        </w:rPr>
        <w:t xml:space="preserve">отдел организационно-кадровой работы и делопроизводства </w:t>
      </w:r>
      <w:r w:rsidRPr="00985E42">
        <w:rPr>
          <w:sz w:val="28"/>
          <w:szCs w:val="28"/>
        </w:rPr>
        <w:t xml:space="preserve">администрации </w:t>
      </w:r>
      <w:proofErr w:type="spellStart"/>
      <w:r w:rsidRPr="00985E42">
        <w:rPr>
          <w:sz w:val="28"/>
          <w:szCs w:val="28"/>
        </w:rPr>
        <w:t>Троснянского</w:t>
      </w:r>
      <w:proofErr w:type="spellEnd"/>
      <w:r w:rsidRPr="00985E42">
        <w:rPr>
          <w:sz w:val="28"/>
          <w:szCs w:val="28"/>
        </w:rPr>
        <w:t xml:space="preserve"> района Орловской области.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 xml:space="preserve">2.5. Держатель Реестра предоставляет доступ иным лицам к Реестру процессов в электронном </w:t>
      </w:r>
      <w:proofErr w:type="spellStart"/>
      <w:r w:rsidRPr="00985E42">
        <w:rPr>
          <w:sz w:val="28"/>
          <w:szCs w:val="28"/>
        </w:rPr>
        <w:t>нередактируемом</w:t>
      </w:r>
      <w:proofErr w:type="spellEnd"/>
      <w:r w:rsidRPr="00985E42">
        <w:rPr>
          <w:sz w:val="28"/>
          <w:szCs w:val="28"/>
        </w:rPr>
        <w:t xml:space="preserve"> формате.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2.6. Реестр процессов подлежит актуализации по мере необходимости, но не реже одного раза в полугодие.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 xml:space="preserve">2.7. Сотрудники и структурные подразделения Администрации, являющиеся владельцами процессов, направляют в адрес держателя Реестра информацию о необходимости внесения изменений в Реестр процессов по </w:t>
      </w:r>
      <w:r w:rsidRPr="00985E42">
        <w:rPr>
          <w:sz w:val="28"/>
          <w:szCs w:val="28"/>
        </w:rPr>
        <w:lastRenderedPageBreak/>
        <w:t xml:space="preserve">собственной инициативе в рабочем порядке после согласования соответствующей информации </w:t>
      </w:r>
      <w:proofErr w:type="gramStart"/>
      <w:r w:rsidRPr="00985E42">
        <w:rPr>
          <w:sz w:val="28"/>
          <w:szCs w:val="28"/>
        </w:rPr>
        <w:t>с</w:t>
      </w:r>
      <w:proofErr w:type="gramEnd"/>
      <w:r w:rsidRPr="00985E42">
        <w:rPr>
          <w:sz w:val="28"/>
          <w:szCs w:val="28"/>
        </w:rPr>
        <w:t xml:space="preserve"> ответственным за внедрение </w:t>
      </w:r>
      <w:proofErr w:type="spellStart"/>
      <w:r w:rsidRPr="00985E42">
        <w:rPr>
          <w:sz w:val="28"/>
          <w:szCs w:val="28"/>
        </w:rPr>
        <w:t>клиентоцентричности</w:t>
      </w:r>
      <w:proofErr w:type="spellEnd"/>
      <w:r w:rsidRPr="00985E42">
        <w:rPr>
          <w:sz w:val="28"/>
          <w:szCs w:val="28"/>
        </w:rPr>
        <w:t xml:space="preserve"> в Администрации.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2.8. После получения запроса держатель реестра в течение 3 рабочих дней вносит изменения в Реестр процессов (в электронную форму) и сообщает об этом инициатору в рабочем порядке. Внесение изменений в распоряжение Администрации, утверждающее первоначальную версию Реестра процессов, не требуется.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</w:p>
    <w:p w:rsidR="00F238AE" w:rsidRPr="00985E42" w:rsidRDefault="00F238AE" w:rsidP="00985E4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E42">
        <w:rPr>
          <w:rFonts w:ascii="Times New Roman" w:hAnsi="Times New Roman" w:cs="Times New Roman"/>
          <w:sz w:val="28"/>
          <w:szCs w:val="28"/>
        </w:rPr>
        <w:t>III. Структура Реестра процессов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3.1. Реестр процессов содержит 15 обязательных для заполнения столбцов следующего содержания.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"Идентификатор процесса". В столбце необходимо указать уникальный идентификатор процесса. Рекомендуется использовать цифровые обозначения по порядку их внесения в Реестр процессов. В сведенном Реестре процессов Администрации должна быть выполнена сквозная нумерация всех процессов.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 xml:space="preserve">"Жизненная ситуация". В столбце указывается одна или несколько жизненных ситуаций, в которые входит функция, услуга или сервис. Эта информация может в дальнейшем использоваться для удобства работы по жизненным ситуациям. Если функция, услуга или сервис не включены в перечень услуг (функций/сервисов) действующей жизненной ситуации, разработанной на федеральном или региональном </w:t>
      </w:r>
      <w:proofErr w:type="gramStart"/>
      <w:r w:rsidRPr="00985E42">
        <w:rPr>
          <w:sz w:val="28"/>
          <w:szCs w:val="28"/>
        </w:rPr>
        <w:t>уровне</w:t>
      </w:r>
      <w:proofErr w:type="gramEnd"/>
      <w:r w:rsidRPr="00985E42">
        <w:rPr>
          <w:sz w:val="28"/>
          <w:szCs w:val="28"/>
        </w:rPr>
        <w:t>, то поле может быть оставлено пустым.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"Название услуги, функции, сервиса". В столбце необходимо указать название соответствующей услуги, функции или сервиса Администрации в случае, если процесс касается предоставления (исполнения) услуги (функции/сервиса).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"Регулирующий акт". В столбце указывается наименование положения/устава или иного документа, в котором содержится информация о том, какую задачу или полномочие исполняет Администрация в рамках данного процесса. В случае если в рамках процесса не исполняется никакого полномочия, представленного в положении/уставе, графа остается незаполненной (актуально для вспомогательных процессов).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 xml:space="preserve">"Группа процессов". В столбце указывается группа, в которую входит процесс согласно группировке из </w:t>
      </w:r>
      <w:r w:rsidRPr="00985E42">
        <w:rPr>
          <w:color w:val="000000" w:themeColor="text1"/>
          <w:sz w:val="28"/>
          <w:szCs w:val="28"/>
        </w:rPr>
        <w:t xml:space="preserve">типового перечня </w:t>
      </w:r>
      <w:r w:rsidRPr="00985E42">
        <w:rPr>
          <w:sz w:val="28"/>
          <w:szCs w:val="28"/>
        </w:rPr>
        <w:t>процессов, представленного в приложении 2 к настоящему Порядку.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 xml:space="preserve">"Название процесса". В столбце указываются названия процессов из типового </w:t>
      </w:r>
      <w:r w:rsidRPr="00985E42">
        <w:rPr>
          <w:color w:val="000000" w:themeColor="text1"/>
          <w:sz w:val="28"/>
          <w:szCs w:val="28"/>
        </w:rPr>
        <w:t>перечня</w:t>
      </w:r>
      <w:r w:rsidRPr="00985E42">
        <w:rPr>
          <w:sz w:val="28"/>
          <w:szCs w:val="28"/>
        </w:rPr>
        <w:t xml:space="preserve"> процессов согласно приложению 2 </w:t>
      </w:r>
      <w:proofErr w:type="gramStart"/>
      <w:r w:rsidRPr="00985E42">
        <w:rPr>
          <w:sz w:val="28"/>
          <w:szCs w:val="28"/>
        </w:rPr>
        <w:t>к</w:t>
      </w:r>
      <w:proofErr w:type="gramEnd"/>
      <w:r w:rsidRPr="00985E42">
        <w:rPr>
          <w:sz w:val="28"/>
          <w:szCs w:val="28"/>
        </w:rPr>
        <w:t xml:space="preserve"> </w:t>
      </w:r>
      <w:proofErr w:type="gramStart"/>
      <w:r w:rsidRPr="00985E42">
        <w:rPr>
          <w:sz w:val="28"/>
          <w:szCs w:val="28"/>
        </w:rPr>
        <w:t>настоящем</w:t>
      </w:r>
      <w:proofErr w:type="gramEnd"/>
      <w:r w:rsidRPr="00985E42">
        <w:rPr>
          <w:sz w:val="28"/>
          <w:szCs w:val="28"/>
        </w:rPr>
        <w:t xml:space="preserve"> Порядку.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85E42">
        <w:rPr>
          <w:sz w:val="28"/>
          <w:szCs w:val="28"/>
        </w:rPr>
        <w:t>"Ответственный за процесс".</w:t>
      </w:r>
      <w:proofErr w:type="gramEnd"/>
      <w:r w:rsidRPr="00985E42">
        <w:rPr>
          <w:sz w:val="28"/>
          <w:szCs w:val="28"/>
        </w:rPr>
        <w:t xml:space="preserve"> В столбце необходимо указать ФИО и должность лица, которое будет выступать ответственным за реинжиниринг процесса.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"Статус процесса (статус реинжиниринга)". В столбце необходимо указать статус реинжиниринга из следующего списка: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- в очереди на исследование (диагностику);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- идет исследование (диагностика);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- в очереди на оптимизацию (реинжиниринг);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lastRenderedPageBreak/>
        <w:t>- проходит оптимизацию (реинжиниринг);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- прошел оптимизацию (реинжиниринг);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 xml:space="preserve">- </w:t>
      </w:r>
      <w:proofErr w:type="gramStart"/>
      <w:r w:rsidRPr="00985E42">
        <w:rPr>
          <w:sz w:val="28"/>
          <w:szCs w:val="28"/>
        </w:rPr>
        <w:t>отправлен</w:t>
      </w:r>
      <w:proofErr w:type="gramEnd"/>
      <w:r w:rsidRPr="00985E42">
        <w:rPr>
          <w:sz w:val="28"/>
          <w:szCs w:val="28"/>
        </w:rPr>
        <w:t xml:space="preserve"> на сертификацию;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- сертифицирован.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"Клиент". В столбце указывается образ конечного клиента соответствующей услуги (функции/сервиса) Администрации.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"Ценность для клиента". В столбце указывается ценность соответствующей услуги (функции/сервиса) Администрации для конечного получателя.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"Данные на входе". В столбце указываются сведения и (или) документы необходимые для начала процесса.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"Результат на выходе". В столбце указывается результат, полученный при завершении процесса.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"Связь с другими процессами". В столбце указываются идентификаторы процессов, которые связаны с указанным процессом.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"Вид процесса". В столбце указывается формат осуществления процесса (автоматически, например, в рамках работы информационной системы или вручную сотрудниками Администрации).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"Точка размещения в цифровом виде". В случае если услуга (функция/сервис) предоставляется в электронном виде, указывается, в какой точке они доступны (ЕПГУ, сайт ведомства).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Наименования столбцов не подлежат редактированию.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>3.2. Указанные столбцы не подлежат исключению из Реестра процессов.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  <w:r w:rsidRPr="00985E42">
        <w:rPr>
          <w:sz w:val="28"/>
          <w:szCs w:val="28"/>
        </w:rPr>
        <w:t xml:space="preserve">3.3. По решению ответственного за внедрение </w:t>
      </w:r>
      <w:proofErr w:type="spellStart"/>
      <w:r w:rsidRPr="00985E42">
        <w:rPr>
          <w:sz w:val="28"/>
          <w:szCs w:val="28"/>
        </w:rPr>
        <w:t>клиентоцентричности</w:t>
      </w:r>
      <w:proofErr w:type="spellEnd"/>
      <w:r w:rsidRPr="00985E42">
        <w:rPr>
          <w:sz w:val="28"/>
          <w:szCs w:val="28"/>
        </w:rPr>
        <w:t xml:space="preserve"> в Администрации в структуру Реестра процессов могут быть включены дополнительные столбцы.</w:t>
      </w:r>
    </w:p>
    <w:p w:rsidR="00F238AE" w:rsidRPr="00985E42" w:rsidRDefault="00F238AE" w:rsidP="00985E42">
      <w:pPr>
        <w:pStyle w:val="ConsPlusNormal"/>
        <w:ind w:firstLine="709"/>
        <w:jc w:val="both"/>
        <w:rPr>
          <w:sz w:val="28"/>
          <w:szCs w:val="28"/>
        </w:rPr>
      </w:pPr>
    </w:p>
    <w:p w:rsidR="004A532B" w:rsidRDefault="004A532B" w:rsidP="00F238A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F08" w:rsidRDefault="00925F08" w:rsidP="00F238A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F08" w:rsidRDefault="00925F08" w:rsidP="00F238A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F08" w:rsidRDefault="00925F08" w:rsidP="00F238A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F08" w:rsidRDefault="00925F08" w:rsidP="00F238A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F08" w:rsidRDefault="00925F08" w:rsidP="00F238A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F08" w:rsidRDefault="00925F08" w:rsidP="00F238A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F08" w:rsidRDefault="00925F08" w:rsidP="00F238A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F08" w:rsidRDefault="00925F08" w:rsidP="00F238A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42" w:rsidRDefault="00985E42" w:rsidP="00F238A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85E42" w:rsidSect="00BC5B93">
          <w:footerReference w:type="first" r:id="rId13"/>
          <w:pgSz w:w="11906" w:h="16838"/>
          <w:pgMar w:top="284" w:right="567" w:bottom="1701" w:left="1701" w:header="709" w:footer="709" w:gutter="0"/>
          <w:cols w:space="708"/>
          <w:titlePg/>
          <w:docGrid w:linePitch="360"/>
        </w:sectPr>
      </w:pPr>
    </w:p>
    <w:p w:rsidR="00925F08" w:rsidRDefault="00925F08" w:rsidP="00985E42">
      <w:pPr>
        <w:pStyle w:val="ConsPlusNormal"/>
        <w:jc w:val="right"/>
        <w:outlineLvl w:val="1"/>
      </w:pPr>
      <w:r>
        <w:lastRenderedPageBreak/>
        <w:t>Приложение 1</w:t>
      </w:r>
      <w:r w:rsidR="00985E42">
        <w:t xml:space="preserve"> </w:t>
      </w:r>
      <w:r>
        <w:t>к Порядку</w:t>
      </w:r>
    </w:p>
    <w:p w:rsidR="00925F08" w:rsidRDefault="00925F08" w:rsidP="00925F08">
      <w:pPr>
        <w:pStyle w:val="ConsPlusNormal"/>
        <w:jc w:val="right"/>
      </w:pPr>
      <w:r>
        <w:t>ведения реестра межведомственных</w:t>
      </w:r>
    </w:p>
    <w:p w:rsidR="00925F08" w:rsidRDefault="00925F08" w:rsidP="00925F08">
      <w:pPr>
        <w:pStyle w:val="ConsPlusNormal"/>
        <w:jc w:val="right"/>
      </w:pPr>
      <w:r>
        <w:t>и внутриведомственных процессов</w:t>
      </w:r>
    </w:p>
    <w:p w:rsidR="00925F08" w:rsidRDefault="00925F08" w:rsidP="00985E42">
      <w:pPr>
        <w:pStyle w:val="ConsPlusNormal"/>
        <w:jc w:val="right"/>
      </w:pPr>
      <w:r>
        <w:t xml:space="preserve">администрации </w:t>
      </w:r>
      <w:proofErr w:type="spellStart"/>
      <w:r>
        <w:t>Троснянского</w:t>
      </w:r>
      <w:proofErr w:type="spellEnd"/>
      <w:r>
        <w:t xml:space="preserve"> района Орловской</w:t>
      </w:r>
      <w:r w:rsidR="00985E42">
        <w:t xml:space="preserve"> о</w:t>
      </w:r>
      <w:r>
        <w:t>бласти</w:t>
      </w:r>
    </w:p>
    <w:p w:rsidR="00925F08" w:rsidRDefault="00925F08" w:rsidP="00925F08">
      <w:pPr>
        <w:pStyle w:val="ConsPlusNormal"/>
        <w:jc w:val="right"/>
      </w:pPr>
    </w:p>
    <w:p w:rsidR="00925F08" w:rsidRDefault="00925F08" w:rsidP="00925F08">
      <w:pPr>
        <w:pStyle w:val="ConsPlusNormal"/>
        <w:jc w:val="right"/>
      </w:pPr>
    </w:p>
    <w:p w:rsidR="00925F08" w:rsidRDefault="00925F08" w:rsidP="00925F08">
      <w:pPr>
        <w:pStyle w:val="ConsPlusNormal"/>
        <w:jc w:val="right"/>
      </w:pPr>
    </w:p>
    <w:tbl>
      <w:tblPr>
        <w:tblW w:w="5000" w:type="pct"/>
        <w:tblBorders>
          <w:left w:val="nil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8"/>
        <w:gridCol w:w="965"/>
        <w:gridCol w:w="832"/>
        <w:gridCol w:w="1273"/>
        <w:gridCol w:w="894"/>
        <w:gridCol w:w="826"/>
        <w:gridCol w:w="1283"/>
        <w:gridCol w:w="1368"/>
        <w:gridCol w:w="673"/>
        <w:gridCol w:w="841"/>
        <w:gridCol w:w="707"/>
        <w:gridCol w:w="858"/>
        <w:gridCol w:w="1007"/>
        <w:gridCol w:w="1099"/>
        <w:gridCol w:w="1032"/>
      </w:tblGrid>
      <w:tr w:rsidR="00925F08" w:rsidRPr="00F013D6" w:rsidTr="00985E42">
        <w:tc>
          <w:tcPr>
            <w:tcW w:w="149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25F08" w:rsidRPr="00F013D6" w:rsidRDefault="00925F08" w:rsidP="00D84D1B">
            <w:pPr>
              <w:pStyle w:val="ConsPlusNormal"/>
              <w:jc w:val="center"/>
            </w:pPr>
            <w:r w:rsidRPr="00F013D6">
              <w:t>Форма реестра</w:t>
            </w:r>
          </w:p>
          <w:p w:rsidR="00925F08" w:rsidRPr="00F013D6" w:rsidRDefault="00925F08" w:rsidP="00D84D1B">
            <w:pPr>
              <w:pStyle w:val="ConsPlusNormal"/>
              <w:jc w:val="center"/>
            </w:pPr>
            <w:r w:rsidRPr="00F013D6">
              <w:t>межведомственных и внутриведомственных процессов</w:t>
            </w:r>
          </w:p>
          <w:p w:rsidR="00925F08" w:rsidRPr="00F013D6" w:rsidRDefault="00925F08" w:rsidP="00DD5916">
            <w:pPr>
              <w:pStyle w:val="ConsPlusNormal"/>
              <w:jc w:val="center"/>
            </w:pPr>
            <w:r w:rsidRPr="00F013D6">
              <w:t xml:space="preserve">администрации </w:t>
            </w:r>
            <w:proofErr w:type="spellStart"/>
            <w:r w:rsidR="00DD5916">
              <w:t>Троснянского</w:t>
            </w:r>
            <w:proofErr w:type="spellEnd"/>
            <w:r w:rsidR="00DD5916">
              <w:t xml:space="preserve"> района</w:t>
            </w:r>
            <w:r w:rsidRPr="00F013D6">
              <w:t xml:space="preserve"> Орловской области</w:t>
            </w:r>
          </w:p>
        </w:tc>
      </w:tr>
      <w:tr w:rsidR="00925F08" w:rsidRPr="00F013D6" w:rsidTr="00985E4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08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Идентификатор процесса &lt;*&gt;</w:t>
            </w:r>
          </w:p>
        </w:tc>
        <w:tc>
          <w:tcPr>
            <w:tcW w:w="965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Жизненная ситуация</w:t>
            </w:r>
          </w:p>
        </w:tc>
        <w:tc>
          <w:tcPr>
            <w:tcW w:w="832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Название услуги, функции, сервиса &lt;*&gt;</w:t>
            </w:r>
          </w:p>
        </w:tc>
        <w:tc>
          <w:tcPr>
            <w:tcW w:w="1273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Регулирующий акт</w:t>
            </w:r>
          </w:p>
        </w:tc>
        <w:tc>
          <w:tcPr>
            <w:tcW w:w="894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Группа процессов</w:t>
            </w:r>
          </w:p>
        </w:tc>
        <w:tc>
          <w:tcPr>
            <w:tcW w:w="826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Название процесса &lt;*&gt;</w:t>
            </w:r>
          </w:p>
        </w:tc>
        <w:tc>
          <w:tcPr>
            <w:tcW w:w="1283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985E42">
              <w:rPr>
                <w:sz w:val="16"/>
                <w:szCs w:val="16"/>
              </w:rPr>
              <w:t>Ответственный за процесс &lt;*&gt;</w:t>
            </w:r>
            <w:proofErr w:type="gramEnd"/>
          </w:p>
        </w:tc>
        <w:tc>
          <w:tcPr>
            <w:tcW w:w="1368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Статус процесса (статус реинжиниринга) &lt;*&gt;</w:t>
            </w:r>
          </w:p>
        </w:tc>
        <w:tc>
          <w:tcPr>
            <w:tcW w:w="673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Клиент</w:t>
            </w:r>
          </w:p>
        </w:tc>
        <w:tc>
          <w:tcPr>
            <w:tcW w:w="841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Ценность для клиента</w:t>
            </w:r>
          </w:p>
        </w:tc>
        <w:tc>
          <w:tcPr>
            <w:tcW w:w="707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Данные на входе</w:t>
            </w:r>
          </w:p>
        </w:tc>
        <w:tc>
          <w:tcPr>
            <w:tcW w:w="858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Результат на выходе</w:t>
            </w:r>
          </w:p>
        </w:tc>
        <w:tc>
          <w:tcPr>
            <w:tcW w:w="1007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Связь с другими процессами</w:t>
            </w:r>
          </w:p>
        </w:tc>
        <w:tc>
          <w:tcPr>
            <w:tcW w:w="1099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Вид процесса (цифровой/ нецифровой)</w:t>
            </w:r>
          </w:p>
        </w:tc>
        <w:tc>
          <w:tcPr>
            <w:tcW w:w="1032" w:type="dxa"/>
          </w:tcPr>
          <w:p w:rsidR="00925F08" w:rsidRPr="00985E42" w:rsidRDefault="00925F08" w:rsidP="00D84D1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E42">
              <w:rPr>
                <w:sz w:val="16"/>
                <w:szCs w:val="16"/>
              </w:rPr>
              <w:t>Точка размещения в цифровом виде (ЕПГУ, сайт ведомства)</w:t>
            </w:r>
          </w:p>
        </w:tc>
      </w:tr>
      <w:tr w:rsidR="00925F08" w:rsidRPr="00F013D6" w:rsidTr="00985E4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0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965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32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7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94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26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36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67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41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707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5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07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99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32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</w:tr>
      <w:tr w:rsidR="00925F08" w:rsidRPr="00F013D6" w:rsidTr="00985E4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0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965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32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7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94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26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36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67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41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707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5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07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99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32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</w:tr>
      <w:tr w:rsidR="00925F08" w:rsidRPr="00F013D6" w:rsidTr="00985E4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0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965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32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7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94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26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36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67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41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707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5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07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99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32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</w:tr>
      <w:tr w:rsidR="00925F08" w:rsidRPr="00F013D6" w:rsidTr="00985E4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0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965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32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7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94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26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36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67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41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707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5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07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99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32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</w:tr>
      <w:tr w:rsidR="00925F08" w:rsidRPr="00F013D6" w:rsidTr="00985E4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0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965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32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7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94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26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36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67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41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707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5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07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99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32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</w:tr>
      <w:tr w:rsidR="00925F08" w:rsidRPr="00F013D6" w:rsidTr="00985E4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0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965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32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7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94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26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36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673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41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707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58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07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99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32" w:type="dxa"/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</w:tr>
      <w:tr w:rsidR="00925F08" w:rsidRPr="00F013D6" w:rsidTr="00985E42">
        <w:tblPrEx>
          <w:tblBorders>
            <w:insideV w:val="nil"/>
          </w:tblBorders>
        </w:tblPrEx>
        <w:tc>
          <w:tcPr>
            <w:tcW w:w="1308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965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32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73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94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26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283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368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673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41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707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58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07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99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32" w:type="dxa"/>
            <w:tcBorders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</w:tr>
      <w:tr w:rsidR="00925F08" w:rsidRPr="00F013D6" w:rsidTr="00985E42">
        <w:tblPrEx>
          <w:tblBorders>
            <w:insideV w:val="nil"/>
          </w:tblBorders>
        </w:tblPrEx>
        <w:tc>
          <w:tcPr>
            <w:tcW w:w="7381" w:type="dxa"/>
            <w:gridSpan w:val="7"/>
            <w:tcBorders>
              <w:top w:val="nil"/>
              <w:bottom w:val="nil"/>
            </w:tcBorders>
          </w:tcPr>
          <w:p w:rsidR="00925F08" w:rsidRPr="00F013D6" w:rsidRDefault="00925F08" w:rsidP="00D84D1B">
            <w:pPr>
              <w:pStyle w:val="ConsPlusNormal"/>
              <w:ind w:firstLine="540"/>
              <w:jc w:val="both"/>
            </w:pPr>
            <w:r w:rsidRPr="00F013D6">
              <w:t>--------------------------------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25F08" w:rsidRPr="00F013D6" w:rsidRDefault="00925F08" w:rsidP="00D84D1B">
            <w:pPr>
              <w:pStyle w:val="ConsPlusNormal"/>
            </w:pPr>
          </w:p>
        </w:tc>
      </w:tr>
      <w:tr w:rsidR="00925F08" w:rsidRPr="00F013D6" w:rsidTr="00985E42">
        <w:tblPrEx>
          <w:tblBorders>
            <w:insideV w:val="nil"/>
          </w:tblBorders>
        </w:tblPrEx>
        <w:tc>
          <w:tcPr>
            <w:tcW w:w="7381" w:type="dxa"/>
            <w:gridSpan w:val="7"/>
            <w:tcBorders>
              <w:top w:val="nil"/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  <w:ind w:firstLine="283"/>
              <w:jc w:val="both"/>
            </w:pPr>
            <w:r w:rsidRPr="00F013D6">
              <w:t>&lt;*&gt; Данные столбцы являются обязательными для заполнения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673" w:type="dxa"/>
            <w:tcBorders>
              <w:top w:val="nil"/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41" w:type="dxa"/>
            <w:tcBorders>
              <w:top w:val="nil"/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707" w:type="dxa"/>
            <w:tcBorders>
              <w:top w:val="nil"/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858" w:type="dxa"/>
            <w:tcBorders>
              <w:top w:val="nil"/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07" w:type="dxa"/>
            <w:tcBorders>
              <w:top w:val="nil"/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bottom"/>
          </w:tcPr>
          <w:p w:rsidR="00925F08" w:rsidRPr="00F013D6" w:rsidRDefault="00925F08" w:rsidP="00D84D1B">
            <w:pPr>
              <w:pStyle w:val="ConsPlusNormal"/>
            </w:pPr>
          </w:p>
        </w:tc>
      </w:tr>
    </w:tbl>
    <w:p w:rsidR="00925F08" w:rsidRDefault="00925F08" w:rsidP="00925F08">
      <w:pPr>
        <w:pStyle w:val="ConsPlusNormal"/>
        <w:jc w:val="right"/>
        <w:outlineLvl w:val="1"/>
      </w:pPr>
    </w:p>
    <w:p w:rsidR="00925F08" w:rsidRDefault="00925F08" w:rsidP="00925F08">
      <w:pPr>
        <w:pStyle w:val="ConsPlusNormal"/>
        <w:jc w:val="right"/>
        <w:outlineLvl w:val="1"/>
      </w:pPr>
      <w:r>
        <w:lastRenderedPageBreak/>
        <w:t>Приложение 2</w:t>
      </w:r>
    </w:p>
    <w:p w:rsidR="00925F08" w:rsidRDefault="00925F08" w:rsidP="00985E42">
      <w:pPr>
        <w:pStyle w:val="ConsPlusNormal"/>
        <w:jc w:val="right"/>
      </w:pPr>
      <w:r>
        <w:t>к Порядку</w:t>
      </w:r>
      <w:r w:rsidR="00985E42">
        <w:t xml:space="preserve"> </w:t>
      </w:r>
      <w:r>
        <w:t xml:space="preserve">ведения реестра </w:t>
      </w:r>
      <w:proofErr w:type="gramStart"/>
      <w:r>
        <w:t>межведомственных</w:t>
      </w:r>
      <w:proofErr w:type="gramEnd"/>
    </w:p>
    <w:p w:rsidR="00925F08" w:rsidRDefault="00925F08" w:rsidP="00925F08">
      <w:pPr>
        <w:pStyle w:val="ConsPlusNormal"/>
        <w:jc w:val="right"/>
      </w:pPr>
      <w:r>
        <w:t>и внутриведомственных процессов</w:t>
      </w:r>
    </w:p>
    <w:p w:rsidR="00925F08" w:rsidRDefault="00925F08" w:rsidP="00925F08">
      <w:pPr>
        <w:pStyle w:val="ConsPlusNormal"/>
        <w:jc w:val="right"/>
      </w:pPr>
      <w:r>
        <w:t xml:space="preserve">администрации </w:t>
      </w:r>
      <w:proofErr w:type="spellStart"/>
      <w:r>
        <w:t>Троснянского</w:t>
      </w:r>
      <w:proofErr w:type="spellEnd"/>
      <w:r>
        <w:t xml:space="preserve"> района</w:t>
      </w:r>
    </w:p>
    <w:p w:rsidR="00985E42" w:rsidRPr="00DD5916" w:rsidRDefault="00985E42" w:rsidP="00985E42">
      <w:pPr>
        <w:pStyle w:val="Default"/>
        <w:ind w:firstLine="709"/>
        <w:jc w:val="center"/>
        <w:rPr>
          <w:rFonts w:eastAsia="PT Astra Serif"/>
          <w:b/>
          <w:bCs/>
          <w:sz w:val="28"/>
          <w:szCs w:val="28"/>
        </w:rPr>
      </w:pPr>
      <w:bookmarkStart w:id="2" w:name="P305"/>
      <w:bookmarkEnd w:id="2"/>
      <w:r w:rsidRPr="00DD5916">
        <w:rPr>
          <w:rFonts w:eastAsia="PT Astra Serif"/>
          <w:b/>
          <w:bCs/>
          <w:sz w:val="28"/>
          <w:szCs w:val="28"/>
        </w:rPr>
        <w:t>Перечень процессов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4110"/>
        <w:gridCol w:w="8039"/>
      </w:tblGrid>
      <w:tr w:rsidR="00985E42" w:rsidRPr="001D6047" w:rsidTr="00985E42">
        <w:tc>
          <w:tcPr>
            <w:tcW w:w="675" w:type="dxa"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№</w:t>
            </w:r>
          </w:p>
        </w:tc>
        <w:tc>
          <w:tcPr>
            <w:tcW w:w="2127" w:type="dxa"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Направление</w:t>
            </w:r>
          </w:p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деятельности органа</w:t>
            </w:r>
          </w:p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власти (вид функции)</w:t>
            </w: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Наименование процесса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 выполнения процесса</w:t>
            </w:r>
          </w:p>
        </w:tc>
      </w:tr>
      <w:tr w:rsidR="00985E42" w:rsidRPr="001D6047" w:rsidTr="00985E42">
        <w:tc>
          <w:tcPr>
            <w:tcW w:w="675" w:type="dxa"/>
            <w:vMerge w:val="restart"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1.</w:t>
            </w:r>
          </w:p>
        </w:tc>
        <w:tc>
          <w:tcPr>
            <w:tcW w:w="2127" w:type="dxa"/>
            <w:vMerge w:val="restart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Предоставление муниципальных услуг</w:t>
            </w: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1.1. Информирование о предоставлении муниципальной услуги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получение клиентом полной и достоверной информации о порядке предоставления услуги независимо от способа информирования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осведомленность клиента о порядке предоставления услуги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1.2. Организация подачи заявителем запроса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обеспечение реализации права клиента на получение муниципальной услуги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доступность, простота и удобство обращения за получением услуги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1.3. Прием и регистрация запроса заявителя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фиксация момента начала предоставления  муниципальной услуги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сокращение общего срока предоставления услуги за счет оптимизации внутренних/технических процедур, проводимых в рамках предоставления услуги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1.4. Запрос и получение документов (сведений), необходимых для предоставления муниципальной услуги, в порядке межведомственного взаимодействия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формирование полного комплекта документов (сведений), необходимых для предоставления услуги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сокращение общего срока предоставления услуги за счет использования межведомственных процедур, сокращение временных и финансовых затрат, связанных с получением услуги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1.5.Рассмотрение запроса и принятие решения по результатам его рассмотрения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обеспечение принятия решения по запросу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</w:t>
            </w:r>
            <w:r>
              <w:t xml:space="preserve"> </w:t>
            </w:r>
            <w:r w:rsidRPr="001D6047">
              <w:rPr>
                <w:rFonts w:eastAsia="PT Astra Serif"/>
                <w:bCs/>
              </w:rPr>
              <w:t>сокращение общего срока предоставления услуги за счет использования внутриведомственных процедур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1.6.Уведомление заявителя о ходе предоставления муниципальной услуги и ее результатах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своевременное предоставление клиенту информации о завершении органом власти предусмотренных действий в процессе предоставления услуги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</w:t>
            </w:r>
            <w:r>
              <w:t xml:space="preserve"> </w:t>
            </w:r>
            <w:r w:rsidRPr="001D6047">
              <w:rPr>
                <w:rFonts w:eastAsia="PT Astra Serif"/>
                <w:bCs/>
              </w:rPr>
              <w:t xml:space="preserve">оперативное информирование клиента о ходе предоставления услуги и ее результатах в целях обеспечения реализации им своих прав и </w:t>
            </w:r>
            <w:r w:rsidRPr="001D6047">
              <w:rPr>
                <w:rFonts w:eastAsia="PT Astra Serif"/>
                <w:bCs/>
              </w:rPr>
              <w:lastRenderedPageBreak/>
              <w:t>защиты законных интересов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1.7.Выдача результата муниципальной услуги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удовлетворение запроса заявителя путем предоставления итогового результата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обеспечение удобного формата получения результата услуги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1.8.Оценка качества предоставления муниципальной услуги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 xml:space="preserve">Цель: сбор обратной связи от заявителей о качестве обслуживания 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возможность для граждан оценить качество услуги в удобном формате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1.9.Рассмотрение жалоб на решения и действия должностных лиц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обеспечение защиты прав граждан и исправление возможных ошибок при предоставлении услуги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доступность механизма защиты прав и оперативное устранение нарушений при предоставлении услуг</w:t>
            </w:r>
          </w:p>
        </w:tc>
      </w:tr>
      <w:tr w:rsidR="00985E42" w:rsidRPr="001D6047" w:rsidTr="00985E42">
        <w:tc>
          <w:tcPr>
            <w:tcW w:w="675" w:type="dxa"/>
            <w:vMerge w:val="restart"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2</w:t>
            </w:r>
          </w:p>
        </w:tc>
        <w:tc>
          <w:tcPr>
            <w:tcW w:w="2127" w:type="dxa"/>
            <w:vMerge w:val="restart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Муниципальный контроль</w:t>
            </w: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2.1. Планирование проведения контрольных мероприятий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ежегодное планирование контрольной деятельности, обеспечение реализации контрольных функций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прогнозирование проведения контрольных мероприятий в отношении клиента (деятельности клиента)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2.2. Принятие решения о проведении контрольного мероприятия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обеспечение осуществления контрольной деятельности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обеспечение защиты законных интересов клиента при принятии решения о проведении контрольного мероприятия, исключение принятия необоснованных решений о проведении таких мероприятий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2.3.Организация и проведение контрольного мероприятия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непосредственное осуществление контрольной функции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приоритет контрольных мероприятий без взаимодействия с контролируемым лицом, минимизация временных и иных затрат клиента, связанных с осуществлением в отношении него контрольной деятельности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2.4. Оформление результатов контрольного мероприятия и ознакомление с его результатами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документальная фиксация результатов контрольного мероприятия, оперативное уведомление о таких результатах контролируемого лица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 xml:space="preserve">Ценность: полнота документальной фиксации выявленных нарушении обязательных требований, оперативность уведомления клиента о результатах контрольных мероприятий 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2.5. Обжалование решений контрольных органов, действий (бездействия) их должностных лиц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 xml:space="preserve">Цель: обеспечение принятия законных и обоснованных решений (совершения действий) при осуществлении контроля, исправления возникающих ошибок в </w:t>
            </w:r>
            <w:proofErr w:type="spellStart"/>
            <w:r w:rsidRPr="001D6047">
              <w:rPr>
                <w:rFonts w:eastAsia="PT Astra Serif"/>
                <w:bCs/>
              </w:rPr>
              <w:t>правоприменении</w:t>
            </w:r>
            <w:proofErr w:type="spellEnd"/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 xml:space="preserve">Ценность: доступ клиентов к защите своих прав и законных интересов, затрагиваемых при осуществлении контроля, возможность быстрого и эффективного исправления ошибок в </w:t>
            </w:r>
            <w:proofErr w:type="spellStart"/>
            <w:r w:rsidRPr="001D6047">
              <w:rPr>
                <w:rFonts w:eastAsia="PT Astra Serif"/>
                <w:bCs/>
              </w:rPr>
              <w:t>правоприменении</w:t>
            </w:r>
            <w:proofErr w:type="spellEnd"/>
          </w:p>
        </w:tc>
      </w:tr>
      <w:tr w:rsidR="00985E42" w:rsidRPr="001D6047" w:rsidTr="00985E42">
        <w:tc>
          <w:tcPr>
            <w:tcW w:w="675" w:type="dxa"/>
            <w:vMerge w:val="restart"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 w:val="restart"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2.6. Оценка результативности и эффективности деятельности контрольных органов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определение результативности и эффективности деятельности контрольных органов</w:t>
            </w:r>
          </w:p>
          <w:p w:rsidR="00985E42" w:rsidRPr="001D6047" w:rsidRDefault="00985E42" w:rsidP="00AC5242">
            <w:pPr>
              <w:pStyle w:val="Default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непосредственной ценности для клиента не выявлено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2.7.Профилактика рисков причинения вреда (ущерба) охраняемым законом ценностям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стимулирование соблюдения обязательных требований клиентами, превенция причинения вреда (ущерба) охраняемым законом ценностям, повышение информированности о соблюдении обязательных требований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создание условий для доведения обязательных требований до клиента, повышение информированности клиентов о способах их соблюдения</w:t>
            </w:r>
          </w:p>
        </w:tc>
      </w:tr>
      <w:tr w:rsidR="00985E42" w:rsidRPr="001D6047" w:rsidTr="00985E42">
        <w:tc>
          <w:tcPr>
            <w:tcW w:w="675" w:type="dxa"/>
            <w:vMerge w:val="restart"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3</w:t>
            </w:r>
          </w:p>
        </w:tc>
        <w:tc>
          <w:tcPr>
            <w:tcW w:w="2127" w:type="dxa"/>
            <w:vMerge w:val="restart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Рассмотрение обращений и запросов</w:t>
            </w: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3.1. Прием и регистрация обращений, запросов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фиксация момента поступления обращения или запроса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сокращение общего срока рассмотрения обращения или запроса за счет оптимизации внутренних/технических процедур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3.2. Переадресация обращений в государственный орган, орган местного самоуправления или должностному лицу, в компетенцию которых входит решение поставленных в обращении вопросов (по компетенции)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обеспечение рассмотрения обращения или запроса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сокращение общего срока рассмотрения обращения или запроса за счет отсутствия необходимости возврата некорректно направленного обращения или запроса клиенту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3.3. Рассмотрений обращений и запросов, подготовка ответов на них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обеспечение принятия решения по обращению или запросу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сокращение общего срока рассмотрения обращения или запроса за счет использования внутриведомственных процедур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3.4. Личный прием граждан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Обеспечение оперативного принятия решения по личному обращению, обеспечение принципа открытости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сокращение общего срока рассмотрения обращения, возможность получения ответа по существу обращения непосредственно в ходе личного приема граждан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 xml:space="preserve">3.5. </w:t>
            </w:r>
            <w:proofErr w:type="gramStart"/>
            <w:r w:rsidRPr="001D6047">
              <w:rPr>
                <w:rFonts w:eastAsia="PT Astra Serif"/>
                <w:bCs/>
              </w:rPr>
              <w:t>Контроль за</w:t>
            </w:r>
            <w:proofErr w:type="gramEnd"/>
            <w:r w:rsidRPr="001D6047">
              <w:rPr>
                <w:rFonts w:eastAsia="PT Astra Serif"/>
                <w:bCs/>
              </w:rPr>
              <w:t xml:space="preserve"> соблюдением порядка рассмотрения обращений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обеспечение рассмотрения обращения или запроса в установленном порядке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непосредственной ценности для клиента не выявлено</w:t>
            </w:r>
          </w:p>
        </w:tc>
      </w:tr>
      <w:tr w:rsidR="00985E42" w:rsidRPr="001D6047" w:rsidTr="00985E42">
        <w:tc>
          <w:tcPr>
            <w:tcW w:w="675" w:type="dxa"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4</w:t>
            </w:r>
          </w:p>
        </w:tc>
        <w:tc>
          <w:tcPr>
            <w:tcW w:w="2127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 xml:space="preserve">Обеспечение доступа к </w:t>
            </w:r>
            <w:r w:rsidRPr="001D6047">
              <w:rPr>
                <w:rFonts w:eastAsia="PT Astra Serif"/>
                <w:bCs/>
              </w:rPr>
              <w:lastRenderedPageBreak/>
              <w:t>информации о деятельности</w:t>
            </w: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lastRenderedPageBreak/>
              <w:t xml:space="preserve">4.1. Предоставление информации о деятельности органов местного </w:t>
            </w:r>
            <w:r w:rsidRPr="001D6047">
              <w:rPr>
                <w:rFonts w:eastAsia="PT Astra Serif"/>
                <w:bCs/>
              </w:rPr>
              <w:lastRenderedPageBreak/>
              <w:t>самоуправления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lastRenderedPageBreak/>
              <w:t>Цель: обеспечение граждан и организаций информацией о деятельности органов местного самоуправления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lastRenderedPageBreak/>
              <w:t>Ценность: доступ клиента к интересующей его информации о деятельности орган местного самоуправления доступным и удобным ему способом</w:t>
            </w:r>
          </w:p>
        </w:tc>
      </w:tr>
      <w:tr w:rsidR="00985E42" w:rsidRPr="001D6047" w:rsidTr="00985E42">
        <w:tc>
          <w:tcPr>
            <w:tcW w:w="675" w:type="dxa"/>
            <w:vMerge w:val="restart"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lastRenderedPageBreak/>
              <w:t>5</w:t>
            </w:r>
          </w:p>
        </w:tc>
        <w:tc>
          <w:tcPr>
            <w:tcW w:w="2127" w:type="dxa"/>
            <w:vMerge w:val="restart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Организация отношений с внутренним клиентом</w:t>
            </w: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5.1. Поступление на муниципальную службу (прием на работу)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формирование кадрового состава органа местного самоуправления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обеспечение равных возможностей для трудоустройства на муниципальную службу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5.2. Аттестация муниципальных служащих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определение соответствия служащего замещаемой должности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результаты аттестации влияют на дальнейшую служебную деятельность и ее перспективы, учитываются при принятии кадровых и иных решений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5.3. Предоставление отпуска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исполнение обязанности по предоставлению времени отдыха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реализация права на отдых и иных прав, связанных с ним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5.4. Направление в служебную командировку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обеспечение реализации полномочий органов местного самоуправления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соблюдение прав муниципальных служащих в связи с направлением в служебную командировку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5.5. Предотвращение и урегулирование конфликта интересов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недопущение причинения вреда законным интересам граждан, организаций, общества, Российской Федерации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proofErr w:type="gramStart"/>
            <w:r w:rsidRPr="001D6047">
              <w:rPr>
                <w:rFonts w:eastAsia="PT Astra Serif"/>
                <w:bCs/>
              </w:rPr>
              <w:t>Ценность: исключение признания решений и (или) действий (бездействия) при выполнении служебных обязанностей принятыми (совершенными) из личной заинтересованности</w:t>
            </w:r>
            <w:proofErr w:type="gramEnd"/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5.6.Предоставление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противодействие и профилактика коррупции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простота декларирования сведений, сокращение временных и финансовых затрат за счет использования межведомственных процедур, понятная система проверки и оценки сведений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5.7. Применение мер поощрения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положительная мотивация и стимулирование муниципальных служащих (работников)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Ценность: положительная оценка результатов службы (работы), моральная и материальная удовлетворенность службой (работой), возможность дальнейшего продвижения по службе (работе)</w:t>
            </w:r>
          </w:p>
        </w:tc>
      </w:tr>
      <w:tr w:rsidR="00985E42" w:rsidRPr="001D6047" w:rsidTr="00985E42">
        <w:tc>
          <w:tcPr>
            <w:tcW w:w="675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85E42" w:rsidRPr="001D6047" w:rsidRDefault="00985E42" w:rsidP="00AC5242">
            <w:pPr>
              <w:pStyle w:val="Default"/>
              <w:jc w:val="center"/>
              <w:rPr>
                <w:rFonts w:eastAsia="PT Astra Serif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5.8. Привлечение к дисциплинарной ответственности</w:t>
            </w:r>
          </w:p>
        </w:tc>
        <w:tc>
          <w:tcPr>
            <w:tcW w:w="8039" w:type="dxa"/>
          </w:tcPr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>Цель: общая и частная превенция нарушений служебной (трудовой) дисциплины</w:t>
            </w:r>
          </w:p>
          <w:p w:rsidR="00985E42" w:rsidRPr="001D6047" w:rsidRDefault="00985E42" w:rsidP="00AC5242">
            <w:pPr>
              <w:pStyle w:val="Default"/>
              <w:jc w:val="both"/>
              <w:rPr>
                <w:rFonts w:eastAsia="PT Astra Serif"/>
                <w:bCs/>
              </w:rPr>
            </w:pPr>
            <w:r w:rsidRPr="001D6047">
              <w:rPr>
                <w:rFonts w:eastAsia="PT Astra Serif"/>
                <w:bCs/>
              </w:rPr>
              <w:t xml:space="preserve">Ценность: простота системы проверки и </w:t>
            </w:r>
            <w:proofErr w:type="gramStart"/>
            <w:r w:rsidRPr="001D6047">
              <w:rPr>
                <w:rFonts w:eastAsia="PT Astra Serif"/>
                <w:bCs/>
              </w:rPr>
              <w:t>оценки</w:t>
            </w:r>
            <w:proofErr w:type="gramEnd"/>
            <w:r w:rsidRPr="001D6047">
              <w:rPr>
                <w:rFonts w:eastAsia="PT Astra Serif"/>
                <w:bCs/>
              </w:rPr>
              <w:t xml:space="preserve"> допущенных нарушении служебной (трудовой)  дисциплины, избрания меры дисциплинарного взыскания</w:t>
            </w:r>
          </w:p>
        </w:tc>
      </w:tr>
    </w:tbl>
    <w:p w:rsidR="00925F08" w:rsidRDefault="00925F08" w:rsidP="00DD591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sectPr w:rsidR="00925F08" w:rsidSect="00985E42">
      <w:pgSz w:w="16838" w:h="11906" w:orient="landscape"/>
      <w:pgMar w:top="1701" w:right="295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3A" w:rsidRDefault="006E113A" w:rsidP="007212FD">
      <w:pPr>
        <w:spacing w:after="0" w:line="240" w:lineRule="auto"/>
      </w:pPr>
      <w:r>
        <w:separator/>
      </w:r>
    </w:p>
  </w:endnote>
  <w:endnote w:type="continuationSeparator" w:id="0">
    <w:p w:rsidR="006E113A" w:rsidRDefault="006E113A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3A" w:rsidRDefault="006E113A" w:rsidP="007212FD">
      <w:pPr>
        <w:spacing w:after="0" w:line="240" w:lineRule="auto"/>
      </w:pPr>
      <w:r>
        <w:separator/>
      </w:r>
    </w:p>
  </w:footnote>
  <w:footnote w:type="continuationSeparator" w:id="0">
    <w:p w:rsidR="006E113A" w:rsidRDefault="006E113A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183B"/>
    <w:multiLevelType w:val="hybridMultilevel"/>
    <w:tmpl w:val="B254D50E"/>
    <w:lvl w:ilvl="0" w:tplc="264A2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4A4ABE"/>
    <w:multiLevelType w:val="hybridMultilevel"/>
    <w:tmpl w:val="E246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66C87"/>
    <w:multiLevelType w:val="hybridMultilevel"/>
    <w:tmpl w:val="B32657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B39EF"/>
    <w:multiLevelType w:val="hybridMultilevel"/>
    <w:tmpl w:val="EAFA0A40"/>
    <w:lvl w:ilvl="0" w:tplc="05A01B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95"/>
    <w:rsid w:val="0000196B"/>
    <w:rsid w:val="00007446"/>
    <w:rsid w:val="000079ED"/>
    <w:rsid w:val="00012DC8"/>
    <w:rsid w:val="00014574"/>
    <w:rsid w:val="0001634D"/>
    <w:rsid w:val="0001696A"/>
    <w:rsid w:val="00021F0F"/>
    <w:rsid w:val="00024D01"/>
    <w:rsid w:val="000259B9"/>
    <w:rsid w:val="00043691"/>
    <w:rsid w:val="00044189"/>
    <w:rsid w:val="00046244"/>
    <w:rsid w:val="000550FF"/>
    <w:rsid w:val="00056A50"/>
    <w:rsid w:val="00070889"/>
    <w:rsid w:val="00071395"/>
    <w:rsid w:val="000722B3"/>
    <w:rsid w:val="0007553B"/>
    <w:rsid w:val="000803E2"/>
    <w:rsid w:val="000833BD"/>
    <w:rsid w:val="000845D0"/>
    <w:rsid w:val="00090738"/>
    <w:rsid w:val="00095729"/>
    <w:rsid w:val="00095AAE"/>
    <w:rsid w:val="000A1DAD"/>
    <w:rsid w:val="000A216E"/>
    <w:rsid w:val="000A4E3C"/>
    <w:rsid w:val="000A527E"/>
    <w:rsid w:val="000A6C9D"/>
    <w:rsid w:val="000B185E"/>
    <w:rsid w:val="000B708E"/>
    <w:rsid w:val="000B71FE"/>
    <w:rsid w:val="000C062E"/>
    <w:rsid w:val="000C61B5"/>
    <w:rsid w:val="000D50FC"/>
    <w:rsid w:val="000F2C0D"/>
    <w:rsid w:val="000F32C2"/>
    <w:rsid w:val="000F5416"/>
    <w:rsid w:val="000F7BB7"/>
    <w:rsid w:val="00101AA3"/>
    <w:rsid w:val="00105C25"/>
    <w:rsid w:val="00106BAA"/>
    <w:rsid w:val="00107179"/>
    <w:rsid w:val="0011092C"/>
    <w:rsid w:val="00110AF4"/>
    <w:rsid w:val="00114D92"/>
    <w:rsid w:val="00126E5F"/>
    <w:rsid w:val="00134382"/>
    <w:rsid w:val="00137D50"/>
    <w:rsid w:val="00141E03"/>
    <w:rsid w:val="00144445"/>
    <w:rsid w:val="00150EB0"/>
    <w:rsid w:val="00151B1C"/>
    <w:rsid w:val="00154919"/>
    <w:rsid w:val="00156642"/>
    <w:rsid w:val="001572B8"/>
    <w:rsid w:val="001600A6"/>
    <w:rsid w:val="001618F2"/>
    <w:rsid w:val="00166A1C"/>
    <w:rsid w:val="001728EA"/>
    <w:rsid w:val="00173F90"/>
    <w:rsid w:val="00180843"/>
    <w:rsid w:val="00180F13"/>
    <w:rsid w:val="0018208F"/>
    <w:rsid w:val="001822FA"/>
    <w:rsid w:val="00185666"/>
    <w:rsid w:val="00187B97"/>
    <w:rsid w:val="001921AE"/>
    <w:rsid w:val="001A135B"/>
    <w:rsid w:val="001A37C8"/>
    <w:rsid w:val="001A71D0"/>
    <w:rsid w:val="001B073C"/>
    <w:rsid w:val="001B3194"/>
    <w:rsid w:val="001B7F2B"/>
    <w:rsid w:val="001C2357"/>
    <w:rsid w:val="001C4297"/>
    <w:rsid w:val="001C61B8"/>
    <w:rsid w:val="001D2416"/>
    <w:rsid w:val="001F5899"/>
    <w:rsid w:val="001F7FCD"/>
    <w:rsid w:val="002027A7"/>
    <w:rsid w:val="00202D17"/>
    <w:rsid w:val="002048A1"/>
    <w:rsid w:val="00207CB2"/>
    <w:rsid w:val="00211E2C"/>
    <w:rsid w:val="00224E1B"/>
    <w:rsid w:val="002403E3"/>
    <w:rsid w:val="00280D52"/>
    <w:rsid w:val="00281733"/>
    <w:rsid w:val="00282A49"/>
    <w:rsid w:val="0028763A"/>
    <w:rsid w:val="00291073"/>
    <w:rsid w:val="002955B5"/>
    <w:rsid w:val="00297BCD"/>
    <w:rsid w:val="002A61DD"/>
    <w:rsid w:val="002A6465"/>
    <w:rsid w:val="002B4378"/>
    <w:rsid w:val="002B6BA7"/>
    <w:rsid w:val="002C7C1D"/>
    <w:rsid w:val="002D1F45"/>
    <w:rsid w:val="002D484E"/>
    <w:rsid w:val="002D7E30"/>
    <w:rsid w:val="002E07AC"/>
    <w:rsid w:val="002E6444"/>
    <w:rsid w:val="002E7520"/>
    <w:rsid w:val="002F5211"/>
    <w:rsid w:val="002F5CD4"/>
    <w:rsid w:val="002F74DE"/>
    <w:rsid w:val="00313632"/>
    <w:rsid w:val="003150C4"/>
    <w:rsid w:val="00324E24"/>
    <w:rsid w:val="00326CF3"/>
    <w:rsid w:val="003327B2"/>
    <w:rsid w:val="00335618"/>
    <w:rsid w:val="00336220"/>
    <w:rsid w:val="003407C6"/>
    <w:rsid w:val="0034238E"/>
    <w:rsid w:val="003443C6"/>
    <w:rsid w:val="00345F5E"/>
    <w:rsid w:val="00346EAE"/>
    <w:rsid w:val="00351661"/>
    <w:rsid w:val="00352E7C"/>
    <w:rsid w:val="003573C8"/>
    <w:rsid w:val="00360FA7"/>
    <w:rsid w:val="00375FF7"/>
    <w:rsid w:val="0037627A"/>
    <w:rsid w:val="00384D83"/>
    <w:rsid w:val="00386BB6"/>
    <w:rsid w:val="003877B3"/>
    <w:rsid w:val="0039045F"/>
    <w:rsid w:val="00394536"/>
    <w:rsid w:val="003B4D0B"/>
    <w:rsid w:val="003B7F94"/>
    <w:rsid w:val="003C030D"/>
    <w:rsid w:val="003C1601"/>
    <w:rsid w:val="003C2B52"/>
    <w:rsid w:val="003D0552"/>
    <w:rsid w:val="003E45E7"/>
    <w:rsid w:val="003E77E1"/>
    <w:rsid w:val="003F414C"/>
    <w:rsid w:val="004036B5"/>
    <w:rsid w:val="00410A58"/>
    <w:rsid w:val="004247AA"/>
    <w:rsid w:val="004318B2"/>
    <w:rsid w:val="00446B35"/>
    <w:rsid w:val="00464992"/>
    <w:rsid w:val="00464C05"/>
    <w:rsid w:val="00470AB3"/>
    <w:rsid w:val="00470BE4"/>
    <w:rsid w:val="00471072"/>
    <w:rsid w:val="00471B0F"/>
    <w:rsid w:val="004774C9"/>
    <w:rsid w:val="004840EF"/>
    <w:rsid w:val="0048544B"/>
    <w:rsid w:val="00485E16"/>
    <w:rsid w:val="00497EE9"/>
    <w:rsid w:val="004A0D86"/>
    <w:rsid w:val="004A2339"/>
    <w:rsid w:val="004A43B7"/>
    <w:rsid w:val="004A532B"/>
    <w:rsid w:val="004A7FB7"/>
    <w:rsid w:val="004B369F"/>
    <w:rsid w:val="004B668C"/>
    <w:rsid w:val="004C7903"/>
    <w:rsid w:val="004D677D"/>
    <w:rsid w:val="004E0AF0"/>
    <w:rsid w:val="004E386A"/>
    <w:rsid w:val="004E3F7D"/>
    <w:rsid w:val="004E584C"/>
    <w:rsid w:val="004E7B80"/>
    <w:rsid w:val="004F53F0"/>
    <w:rsid w:val="00501116"/>
    <w:rsid w:val="00502E6F"/>
    <w:rsid w:val="00503D80"/>
    <w:rsid w:val="00503DD5"/>
    <w:rsid w:val="005104FC"/>
    <w:rsid w:val="00512CB8"/>
    <w:rsid w:val="005220DC"/>
    <w:rsid w:val="00531A87"/>
    <w:rsid w:val="00536C62"/>
    <w:rsid w:val="005452F2"/>
    <w:rsid w:val="00546605"/>
    <w:rsid w:val="00555265"/>
    <w:rsid w:val="00565FDC"/>
    <w:rsid w:val="00567427"/>
    <w:rsid w:val="00573CBD"/>
    <w:rsid w:val="005741AC"/>
    <w:rsid w:val="0057428B"/>
    <w:rsid w:val="00576BA7"/>
    <w:rsid w:val="00582DB1"/>
    <w:rsid w:val="0058508B"/>
    <w:rsid w:val="00590D66"/>
    <w:rsid w:val="005916D9"/>
    <w:rsid w:val="00597104"/>
    <w:rsid w:val="005A6867"/>
    <w:rsid w:val="005B6345"/>
    <w:rsid w:val="005C1627"/>
    <w:rsid w:val="005C6A45"/>
    <w:rsid w:val="005C6ADC"/>
    <w:rsid w:val="005D0F18"/>
    <w:rsid w:val="005D1C35"/>
    <w:rsid w:val="005D6C88"/>
    <w:rsid w:val="005E1CDD"/>
    <w:rsid w:val="005E2882"/>
    <w:rsid w:val="005F3038"/>
    <w:rsid w:val="00602204"/>
    <w:rsid w:val="00610CE9"/>
    <w:rsid w:val="006128E0"/>
    <w:rsid w:val="00613CF3"/>
    <w:rsid w:val="00632958"/>
    <w:rsid w:val="00633377"/>
    <w:rsid w:val="00640924"/>
    <w:rsid w:val="00647332"/>
    <w:rsid w:val="006541AC"/>
    <w:rsid w:val="0065704F"/>
    <w:rsid w:val="00670992"/>
    <w:rsid w:val="00672D84"/>
    <w:rsid w:val="0067714B"/>
    <w:rsid w:val="006779E4"/>
    <w:rsid w:val="0068234A"/>
    <w:rsid w:val="00684A1E"/>
    <w:rsid w:val="006879C2"/>
    <w:rsid w:val="00692B20"/>
    <w:rsid w:val="00693993"/>
    <w:rsid w:val="00696469"/>
    <w:rsid w:val="006A00F2"/>
    <w:rsid w:val="006B0123"/>
    <w:rsid w:val="006B3C44"/>
    <w:rsid w:val="006B3CEA"/>
    <w:rsid w:val="006C3913"/>
    <w:rsid w:val="006D18AF"/>
    <w:rsid w:val="006D314B"/>
    <w:rsid w:val="006D52ED"/>
    <w:rsid w:val="006D6E15"/>
    <w:rsid w:val="006D7122"/>
    <w:rsid w:val="006E0490"/>
    <w:rsid w:val="006E113A"/>
    <w:rsid w:val="006E2551"/>
    <w:rsid w:val="006E2A1E"/>
    <w:rsid w:val="006E318F"/>
    <w:rsid w:val="006E39DF"/>
    <w:rsid w:val="006F4D2C"/>
    <w:rsid w:val="006F6EF4"/>
    <w:rsid w:val="006F7C03"/>
    <w:rsid w:val="006F7CC2"/>
    <w:rsid w:val="007047DF"/>
    <w:rsid w:val="00704E8D"/>
    <w:rsid w:val="00706AE0"/>
    <w:rsid w:val="007212FD"/>
    <w:rsid w:val="007220E2"/>
    <w:rsid w:val="00722A7C"/>
    <w:rsid w:val="00725C8E"/>
    <w:rsid w:val="00726261"/>
    <w:rsid w:val="0073306F"/>
    <w:rsid w:val="0074377B"/>
    <w:rsid w:val="00753CE3"/>
    <w:rsid w:val="0076212D"/>
    <w:rsid w:val="00772216"/>
    <w:rsid w:val="00785D8C"/>
    <w:rsid w:val="007928EA"/>
    <w:rsid w:val="0079459D"/>
    <w:rsid w:val="00794737"/>
    <w:rsid w:val="00797173"/>
    <w:rsid w:val="007A00EE"/>
    <w:rsid w:val="007B406E"/>
    <w:rsid w:val="007B5558"/>
    <w:rsid w:val="007B63CB"/>
    <w:rsid w:val="007B6820"/>
    <w:rsid w:val="007C155E"/>
    <w:rsid w:val="007C17ED"/>
    <w:rsid w:val="007C46FD"/>
    <w:rsid w:val="007C7E2D"/>
    <w:rsid w:val="007D33FC"/>
    <w:rsid w:val="007E1C73"/>
    <w:rsid w:val="007F2BB7"/>
    <w:rsid w:val="0080110C"/>
    <w:rsid w:val="008278D6"/>
    <w:rsid w:val="0084215C"/>
    <w:rsid w:val="00853893"/>
    <w:rsid w:val="00854EE9"/>
    <w:rsid w:val="0086033E"/>
    <w:rsid w:val="00861729"/>
    <w:rsid w:val="008651C4"/>
    <w:rsid w:val="00874AEC"/>
    <w:rsid w:val="00874D1D"/>
    <w:rsid w:val="008825C3"/>
    <w:rsid w:val="00882E6D"/>
    <w:rsid w:val="0089082C"/>
    <w:rsid w:val="00891708"/>
    <w:rsid w:val="0089648E"/>
    <w:rsid w:val="008A14AF"/>
    <w:rsid w:val="008A1C4A"/>
    <w:rsid w:val="008A48D5"/>
    <w:rsid w:val="008A50D9"/>
    <w:rsid w:val="008B247C"/>
    <w:rsid w:val="008B567E"/>
    <w:rsid w:val="008C2816"/>
    <w:rsid w:val="008D0BB4"/>
    <w:rsid w:val="008F7298"/>
    <w:rsid w:val="00905899"/>
    <w:rsid w:val="009107B5"/>
    <w:rsid w:val="00916657"/>
    <w:rsid w:val="00923FB5"/>
    <w:rsid w:val="00925F08"/>
    <w:rsid w:val="009260CB"/>
    <w:rsid w:val="00932222"/>
    <w:rsid w:val="00932252"/>
    <w:rsid w:val="0093472E"/>
    <w:rsid w:val="00935251"/>
    <w:rsid w:val="00935651"/>
    <w:rsid w:val="009502B0"/>
    <w:rsid w:val="00950861"/>
    <w:rsid w:val="00962076"/>
    <w:rsid w:val="009704F6"/>
    <w:rsid w:val="00977183"/>
    <w:rsid w:val="00984AAE"/>
    <w:rsid w:val="00985E42"/>
    <w:rsid w:val="00993A6B"/>
    <w:rsid w:val="0099556E"/>
    <w:rsid w:val="009A186E"/>
    <w:rsid w:val="009A3532"/>
    <w:rsid w:val="009B0AD4"/>
    <w:rsid w:val="009B32A4"/>
    <w:rsid w:val="009C4C3D"/>
    <w:rsid w:val="009D04AE"/>
    <w:rsid w:val="009D5CBB"/>
    <w:rsid w:val="009D7277"/>
    <w:rsid w:val="009E30F2"/>
    <w:rsid w:val="009E3844"/>
    <w:rsid w:val="009E490D"/>
    <w:rsid w:val="00A009C7"/>
    <w:rsid w:val="00A02350"/>
    <w:rsid w:val="00A11477"/>
    <w:rsid w:val="00A14930"/>
    <w:rsid w:val="00A21AA7"/>
    <w:rsid w:val="00A30D31"/>
    <w:rsid w:val="00A323D3"/>
    <w:rsid w:val="00A351FC"/>
    <w:rsid w:val="00A45F78"/>
    <w:rsid w:val="00A5526A"/>
    <w:rsid w:val="00A56FBD"/>
    <w:rsid w:val="00A7016C"/>
    <w:rsid w:val="00A70A77"/>
    <w:rsid w:val="00A729D8"/>
    <w:rsid w:val="00A858C3"/>
    <w:rsid w:val="00A92256"/>
    <w:rsid w:val="00A95BBB"/>
    <w:rsid w:val="00AA1D17"/>
    <w:rsid w:val="00AB3BF7"/>
    <w:rsid w:val="00AC1BD1"/>
    <w:rsid w:val="00AC3A4D"/>
    <w:rsid w:val="00AD18C9"/>
    <w:rsid w:val="00AE59FA"/>
    <w:rsid w:val="00B03059"/>
    <w:rsid w:val="00B05F6A"/>
    <w:rsid w:val="00B117CD"/>
    <w:rsid w:val="00B20DDF"/>
    <w:rsid w:val="00B22D47"/>
    <w:rsid w:val="00B30832"/>
    <w:rsid w:val="00B35CBB"/>
    <w:rsid w:val="00B40347"/>
    <w:rsid w:val="00B55C7F"/>
    <w:rsid w:val="00B63C1F"/>
    <w:rsid w:val="00B811B8"/>
    <w:rsid w:val="00BA1182"/>
    <w:rsid w:val="00BA2E39"/>
    <w:rsid w:val="00BB121E"/>
    <w:rsid w:val="00BB2629"/>
    <w:rsid w:val="00BB71D6"/>
    <w:rsid w:val="00BB7CCD"/>
    <w:rsid w:val="00BC5B93"/>
    <w:rsid w:val="00BC6111"/>
    <w:rsid w:val="00BC6A8C"/>
    <w:rsid w:val="00BE3CB4"/>
    <w:rsid w:val="00BE4328"/>
    <w:rsid w:val="00BF42CF"/>
    <w:rsid w:val="00C1310A"/>
    <w:rsid w:val="00C141CA"/>
    <w:rsid w:val="00C148F3"/>
    <w:rsid w:val="00C175CF"/>
    <w:rsid w:val="00C23C4D"/>
    <w:rsid w:val="00C30BB6"/>
    <w:rsid w:val="00C32643"/>
    <w:rsid w:val="00C32DEB"/>
    <w:rsid w:val="00C4069F"/>
    <w:rsid w:val="00C420C8"/>
    <w:rsid w:val="00C42DD7"/>
    <w:rsid w:val="00C45C7E"/>
    <w:rsid w:val="00C46B51"/>
    <w:rsid w:val="00C54F02"/>
    <w:rsid w:val="00C55F29"/>
    <w:rsid w:val="00C5624E"/>
    <w:rsid w:val="00C6273E"/>
    <w:rsid w:val="00C644D1"/>
    <w:rsid w:val="00C663D0"/>
    <w:rsid w:val="00C66B82"/>
    <w:rsid w:val="00C73886"/>
    <w:rsid w:val="00C74867"/>
    <w:rsid w:val="00C760C0"/>
    <w:rsid w:val="00C7768B"/>
    <w:rsid w:val="00C80522"/>
    <w:rsid w:val="00C90623"/>
    <w:rsid w:val="00CA18C3"/>
    <w:rsid w:val="00CA5F0B"/>
    <w:rsid w:val="00CA61F7"/>
    <w:rsid w:val="00CA7C6F"/>
    <w:rsid w:val="00CB564A"/>
    <w:rsid w:val="00CB61C0"/>
    <w:rsid w:val="00CB793A"/>
    <w:rsid w:val="00CC3ACB"/>
    <w:rsid w:val="00CC43A4"/>
    <w:rsid w:val="00CD3804"/>
    <w:rsid w:val="00CE28AF"/>
    <w:rsid w:val="00CE37A6"/>
    <w:rsid w:val="00CE4D01"/>
    <w:rsid w:val="00CF03C8"/>
    <w:rsid w:val="00D07E62"/>
    <w:rsid w:val="00D10333"/>
    <w:rsid w:val="00D122C5"/>
    <w:rsid w:val="00D2593C"/>
    <w:rsid w:val="00D30322"/>
    <w:rsid w:val="00D359FF"/>
    <w:rsid w:val="00D36CE5"/>
    <w:rsid w:val="00D376A9"/>
    <w:rsid w:val="00D41425"/>
    <w:rsid w:val="00D47C62"/>
    <w:rsid w:val="00D57724"/>
    <w:rsid w:val="00D57885"/>
    <w:rsid w:val="00D6093B"/>
    <w:rsid w:val="00D617DF"/>
    <w:rsid w:val="00D67556"/>
    <w:rsid w:val="00D76369"/>
    <w:rsid w:val="00D81AC8"/>
    <w:rsid w:val="00D8230B"/>
    <w:rsid w:val="00D84DA2"/>
    <w:rsid w:val="00D861EA"/>
    <w:rsid w:val="00D90176"/>
    <w:rsid w:val="00D941DC"/>
    <w:rsid w:val="00D97AA5"/>
    <w:rsid w:val="00DA2EC6"/>
    <w:rsid w:val="00DA3671"/>
    <w:rsid w:val="00DA7CFC"/>
    <w:rsid w:val="00DB06EC"/>
    <w:rsid w:val="00DB339D"/>
    <w:rsid w:val="00DC1887"/>
    <w:rsid w:val="00DC7570"/>
    <w:rsid w:val="00DD5916"/>
    <w:rsid w:val="00DF74D9"/>
    <w:rsid w:val="00E1129F"/>
    <w:rsid w:val="00E12680"/>
    <w:rsid w:val="00E151A6"/>
    <w:rsid w:val="00E2179A"/>
    <w:rsid w:val="00E239CA"/>
    <w:rsid w:val="00E31BF5"/>
    <w:rsid w:val="00E4096A"/>
    <w:rsid w:val="00E419D7"/>
    <w:rsid w:val="00E4286E"/>
    <w:rsid w:val="00E43A07"/>
    <w:rsid w:val="00E44B9F"/>
    <w:rsid w:val="00E46BE6"/>
    <w:rsid w:val="00E709FA"/>
    <w:rsid w:val="00E76C09"/>
    <w:rsid w:val="00E817C6"/>
    <w:rsid w:val="00E81C9B"/>
    <w:rsid w:val="00E823BC"/>
    <w:rsid w:val="00E839EA"/>
    <w:rsid w:val="00E85596"/>
    <w:rsid w:val="00E85C24"/>
    <w:rsid w:val="00EA00F8"/>
    <w:rsid w:val="00EA1DA0"/>
    <w:rsid w:val="00EA41F4"/>
    <w:rsid w:val="00EB4A6E"/>
    <w:rsid w:val="00EB5B39"/>
    <w:rsid w:val="00EC22DF"/>
    <w:rsid w:val="00EC7FC1"/>
    <w:rsid w:val="00ED46F3"/>
    <w:rsid w:val="00EE59E5"/>
    <w:rsid w:val="00EF32E2"/>
    <w:rsid w:val="00F0673C"/>
    <w:rsid w:val="00F15E73"/>
    <w:rsid w:val="00F238AE"/>
    <w:rsid w:val="00F3061D"/>
    <w:rsid w:val="00F317CF"/>
    <w:rsid w:val="00F31E69"/>
    <w:rsid w:val="00F33A11"/>
    <w:rsid w:val="00F41A8A"/>
    <w:rsid w:val="00F4476D"/>
    <w:rsid w:val="00F45952"/>
    <w:rsid w:val="00F47905"/>
    <w:rsid w:val="00F57360"/>
    <w:rsid w:val="00F62722"/>
    <w:rsid w:val="00F63530"/>
    <w:rsid w:val="00F65E84"/>
    <w:rsid w:val="00F663D6"/>
    <w:rsid w:val="00F66AC5"/>
    <w:rsid w:val="00F71789"/>
    <w:rsid w:val="00F8464A"/>
    <w:rsid w:val="00F84755"/>
    <w:rsid w:val="00F91459"/>
    <w:rsid w:val="00F95708"/>
    <w:rsid w:val="00F95FA4"/>
    <w:rsid w:val="00FA01E1"/>
    <w:rsid w:val="00FB676B"/>
    <w:rsid w:val="00FB6A5B"/>
    <w:rsid w:val="00FC7457"/>
    <w:rsid w:val="00FD0DB3"/>
    <w:rsid w:val="00FD158D"/>
    <w:rsid w:val="00FD3AE9"/>
    <w:rsid w:val="00FE23D6"/>
    <w:rsid w:val="00FE3EC1"/>
    <w:rsid w:val="00FE52F3"/>
    <w:rsid w:val="00FF51B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709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11">
    <w:name w:val="Знак1 Знак Знак Знак"/>
    <w:basedOn w:val="a"/>
    <w:autoRedefine/>
    <w:rsid w:val="00345F5E"/>
    <w:pPr>
      <w:spacing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nformat">
    <w:name w:val="ConsNonformat"/>
    <w:link w:val="ConsNonformat0"/>
    <w:rsid w:val="00345F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45F5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3061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3061D"/>
    <w:rPr>
      <w:color w:val="605E5C"/>
      <w:shd w:val="clear" w:color="auto" w:fill="E1DFDD"/>
    </w:rPr>
  </w:style>
  <w:style w:type="paragraph" w:styleId="2">
    <w:name w:val="Body Text 2"/>
    <w:basedOn w:val="a"/>
    <w:link w:val="20"/>
    <w:rsid w:val="000713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713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709F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709FA"/>
    <w:rPr>
      <w:b/>
      <w:bCs/>
    </w:rPr>
  </w:style>
  <w:style w:type="paragraph" w:customStyle="1" w:styleId="ConsPlusTitle">
    <w:name w:val="ConsPlusTitle"/>
    <w:rsid w:val="00E709F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c">
    <w:name w:val="No Spacing"/>
    <w:uiPriority w:val="1"/>
    <w:qFormat/>
    <w:rsid w:val="00E709F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p8">
    <w:name w:val="p8"/>
    <w:basedOn w:val="a"/>
    <w:rsid w:val="00E7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D359F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359FF"/>
  </w:style>
  <w:style w:type="paragraph" w:styleId="af">
    <w:name w:val="List Paragraph"/>
    <w:basedOn w:val="a"/>
    <w:uiPriority w:val="34"/>
    <w:qFormat/>
    <w:rsid w:val="00D359F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ConsPlusNormal">
    <w:name w:val="ConsPlusNormal"/>
    <w:rsid w:val="00F238A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Default">
    <w:name w:val="Default"/>
    <w:qFormat/>
    <w:rsid w:val="00985E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709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11">
    <w:name w:val="Знак1 Знак Знак Знак"/>
    <w:basedOn w:val="a"/>
    <w:autoRedefine/>
    <w:rsid w:val="00345F5E"/>
    <w:pPr>
      <w:spacing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nformat">
    <w:name w:val="ConsNonformat"/>
    <w:link w:val="ConsNonformat0"/>
    <w:rsid w:val="00345F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45F5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3061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3061D"/>
    <w:rPr>
      <w:color w:val="605E5C"/>
      <w:shd w:val="clear" w:color="auto" w:fill="E1DFDD"/>
    </w:rPr>
  </w:style>
  <w:style w:type="paragraph" w:styleId="2">
    <w:name w:val="Body Text 2"/>
    <w:basedOn w:val="a"/>
    <w:link w:val="20"/>
    <w:rsid w:val="000713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713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709F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709FA"/>
    <w:rPr>
      <w:b/>
      <w:bCs/>
    </w:rPr>
  </w:style>
  <w:style w:type="paragraph" w:customStyle="1" w:styleId="ConsPlusTitle">
    <w:name w:val="ConsPlusTitle"/>
    <w:rsid w:val="00E709F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c">
    <w:name w:val="No Spacing"/>
    <w:uiPriority w:val="1"/>
    <w:qFormat/>
    <w:rsid w:val="00E709F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p8">
    <w:name w:val="p8"/>
    <w:basedOn w:val="a"/>
    <w:rsid w:val="00E7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D359F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359FF"/>
  </w:style>
  <w:style w:type="paragraph" w:styleId="af">
    <w:name w:val="List Paragraph"/>
    <w:basedOn w:val="a"/>
    <w:uiPriority w:val="34"/>
    <w:qFormat/>
    <w:rsid w:val="00D359F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ConsPlusNormal">
    <w:name w:val="ConsPlusNormal"/>
    <w:rsid w:val="00F238A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Default">
    <w:name w:val="Default"/>
    <w:qFormat/>
    <w:rsid w:val="00985E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ova.A.V\Desktop\&#1054;&#1057;&#1053;&#1054;&#1042;&#1053;&#1054;&#1049;_&#1086;&#1073;&#1097;&#1080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D7533A-3CE4-450F-ABBB-0A586F06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ОСНОВНОЙ_общий бланк</Template>
  <TotalTime>4</TotalTime>
  <Pages>11</Pages>
  <Words>3004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Анастасия Викторовна</dc:creator>
  <cp:lastModifiedBy>14</cp:lastModifiedBy>
  <cp:revision>3</cp:revision>
  <cp:lastPrinted>2025-11-26T14:41:00Z</cp:lastPrinted>
  <dcterms:created xsi:type="dcterms:W3CDTF">2025-11-26T14:16:00Z</dcterms:created>
  <dcterms:modified xsi:type="dcterms:W3CDTF">2025-11-26T14:43:00Z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