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76" w:rsidRPr="00823D8A" w:rsidRDefault="00F51876" w:rsidP="00F51876">
      <w:pPr>
        <w:pStyle w:val="a4"/>
        <w:jc w:val="center"/>
        <w:rPr>
          <w:b/>
        </w:rPr>
      </w:pPr>
      <w:r w:rsidRPr="00823D8A">
        <w:rPr>
          <w:rStyle w:val="a5"/>
          <w:b w:val="0"/>
        </w:rPr>
        <w:t>ЗАКЛЮЧЕНИЕ</w:t>
      </w:r>
      <w:r w:rsidRPr="00823D8A">
        <w:rPr>
          <w:b/>
          <w:bCs/>
        </w:rPr>
        <w:br/>
      </w:r>
      <w:r w:rsidRPr="00823D8A">
        <w:rPr>
          <w:rStyle w:val="a5"/>
          <w:b w:val="0"/>
        </w:rPr>
        <w:t xml:space="preserve">на проект решения </w:t>
      </w:r>
      <w:r w:rsidR="00070E24" w:rsidRPr="00823D8A">
        <w:rPr>
          <w:rStyle w:val="a5"/>
          <w:b w:val="0"/>
        </w:rPr>
        <w:t>Троснянского районного Совета народных депутатов</w:t>
      </w:r>
      <w:r w:rsidRPr="00823D8A">
        <w:rPr>
          <w:rStyle w:val="a5"/>
          <w:b w:val="0"/>
        </w:rPr>
        <w:t xml:space="preserve">  «О внесении изменений в </w:t>
      </w:r>
      <w:r w:rsidR="00855FB7" w:rsidRPr="00823D8A">
        <w:rPr>
          <w:rStyle w:val="a5"/>
          <w:b w:val="0"/>
        </w:rPr>
        <w:t>решение</w:t>
      </w:r>
      <w:r w:rsidR="00070E24" w:rsidRPr="00823D8A">
        <w:rPr>
          <w:rStyle w:val="a5"/>
          <w:b w:val="0"/>
        </w:rPr>
        <w:t xml:space="preserve"> Троснянского районного Совета народных депутатов</w:t>
      </w:r>
      <w:r w:rsidRPr="00823D8A">
        <w:rPr>
          <w:rStyle w:val="a5"/>
          <w:b w:val="0"/>
        </w:rPr>
        <w:t xml:space="preserve"> от</w:t>
      </w:r>
      <w:r w:rsidR="00855FB7" w:rsidRPr="00823D8A">
        <w:rPr>
          <w:rStyle w:val="a5"/>
          <w:b w:val="0"/>
        </w:rPr>
        <w:t xml:space="preserve"> </w:t>
      </w:r>
      <w:r w:rsidR="006C2C25" w:rsidRPr="00823D8A">
        <w:rPr>
          <w:rStyle w:val="a5"/>
          <w:b w:val="0"/>
        </w:rPr>
        <w:t>18</w:t>
      </w:r>
      <w:r w:rsidR="00855FB7" w:rsidRPr="00823D8A">
        <w:rPr>
          <w:rStyle w:val="a5"/>
          <w:b w:val="0"/>
        </w:rPr>
        <w:t>.12.201</w:t>
      </w:r>
      <w:r w:rsidR="006C2C25" w:rsidRPr="00823D8A">
        <w:rPr>
          <w:rStyle w:val="a5"/>
          <w:b w:val="0"/>
        </w:rPr>
        <w:t>2</w:t>
      </w:r>
      <w:r w:rsidR="00855FB7" w:rsidRPr="00823D8A">
        <w:rPr>
          <w:rStyle w:val="a5"/>
          <w:b w:val="0"/>
        </w:rPr>
        <w:t xml:space="preserve"> года </w:t>
      </w:r>
      <w:r w:rsidRPr="00823D8A">
        <w:rPr>
          <w:rStyle w:val="a5"/>
          <w:b w:val="0"/>
        </w:rPr>
        <w:t xml:space="preserve"> №</w:t>
      </w:r>
      <w:r w:rsidR="002D3009" w:rsidRPr="00823D8A">
        <w:rPr>
          <w:rStyle w:val="a5"/>
          <w:b w:val="0"/>
        </w:rPr>
        <w:t xml:space="preserve"> </w:t>
      </w:r>
      <w:r w:rsidR="006C2C25" w:rsidRPr="00823D8A">
        <w:rPr>
          <w:rStyle w:val="a5"/>
          <w:b w:val="0"/>
        </w:rPr>
        <w:t>175</w:t>
      </w:r>
      <w:r w:rsidRPr="00823D8A">
        <w:rPr>
          <w:rStyle w:val="a5"/>
          <w:b w:val="0"/>
        </w:rPr>
        <w:t xml:space="preserve"> </w:t>
      </w:r>
      <w:r w:rsidR="00070E24" w:rsidRPr="00823D8A">
        <w:rPr>
          <w:rStyle w:val="a5"/>
          <w:b w:val="0"/>
        </w:rPr>
        <w:t xml:space="preserve"> </w:t>
      </w:r>
      <w:r w:rsidRPr="00823D8A">
        <w:rPr>
          <w:rStyle w:val="a5"/>
          <w:b w:val="0"/>
        </w:rPr>
        <w:t xml:space="preserve">«О бюджете </w:t>
      </w:r>
      <w:r w:rsidR="00070E24" w:rsidRPr="00823D8A">
        <w:rPr>
          <w:rStyle w:val="a5"/>
          <w:b w:val="0"/>
        </w:rPr>
        <w:t>Троснянского района</w:t>
      </w:r>
      <w:r w:rsidRPr="00823D8A">
        <w:rPr>
          <w:rStyle w:val="a5"/>
          <w:b w:val="0"/>
        </w:rPr>
        <w:t xml:space="preserve"> на 201</w:t>
      </w:r>
      <w:r w:rsidR="006C2C25" w:rsidRPr="00823D8A">
        <w:rPr>
          <w:rStyle w:val="a5"/>
          <w:b w:val="0"/>
        </w:rPr>
        <w:t>3</w:t>
      </w:r>
      <w:r w:rsidRPr="00823D8A">
        <w:rPr>
          <w:rStyle w:val="a5"/>
          <w:b w:val="0"/>
        </w:rPr>
        <w:t xml:space="preserve"> год и плановый период 201</w:t>
      </w:r>
      <w:r w:rsidR="006C2C25" w:rsidRPr="00823D8A">
        <w:rPr>
          <w:rStyle w:val="a5"/>
          <w:b w:val="0"/>
        </w:rPr>
        <w:t>4</w:t>
      </w:r>
      <w:r w:rsidRPr="00823D8A">
        <w:rPr>
          <w:rStyle w:val="a5"/>
          <w:b w:val="0"/>
        </w:rPr>
        <w:t>-201</w:t>
      </w:r>
      <w:r w:rsidR="006C2C25" w:rsidRPr="00823D8A">
        <w:rPr>
          <w:rStyle w:val="a5"/>
          <w:b w:val="0"/>
        </w:rPr>
        <w:t>5</w:t>
      </w:r>
      <w:r w:rsidRPr="00823D8A">
        <w:rPr>
          <w:rStyle w:val="a5"/>
          <w:b w:val="0"/>
        </w:rPr>
        <w:t xml:space="preserve"> годов» </w:t>
      </w:r>
      <w:proofErr w:type="gramStart"/>
      <w:r w:rsidR="004B4A54" w:rsidRPr="00823D8A">
        <w:rPr>
          <w:rStyle w:val="a5"/>
          <w:b w:val="0"/>
        </w:rPr>
        <w:t xml:space="preserve">( </w:t>
      </w:r>
      <w:proofErr w:type="gramEnd"/>
      <w:r w:rsidR="004B4A54" w:rsidRPr="00823D8A">
        <w:rPr>
          <w:rStyle w:val="a5"/>
          <w:b w:val="0"/>
        </w:rPr>
        <w:t>в последней редакции решения от 21.03.2013 года № 194)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718"/>
        <w:gridCol w:w="33"/>
      </w:tblGrid>
      <w:tr w:rsidR="00F51876" w:rsidRPr="00571A19">
        <w:trPr>
          <w:tblCellSpacing w:w="0" w:type="dxa"/>
        </w:trPr>
        <w:tc>
          <w:tcPr>
            <w:tcW w:w="0" w:type="auto"/>
            <w:vAlign w:val="center"/>
          </w:tcPr>
          <w:p w:rsidR="00BC7D07" w:rsidRPr="00571A19" w:rsidRDefault="006C2C25" w:rsidP="00693359">
            <w:r w:rsidRPr="00571A19">
              <w:rPr>
                <w:lang w:val="en-US"/>
              </w:rPr>
              <w:t>1</w:t>
            </w:r>
            <w:r w:rsidR="002B0EAC" w:rsidRPr="00571A19">
              <w:t>4 мая</w:t>
            </w:r>
            <w:r w:rsidR="00F51876" w:rsidRPr="00571A19">
              <w:t xml:space="preserve"> 201</w:t>
            </w:r>
            <w:r w:rsidRPr="00571A19">
              <w:rPr>
                <w:lang w:val="en-US"/>
              </w:rPr>
              <w:t>3</w:t>
            </w:r>
            <w:r w:rsidR="00F51876" w:rsidRPr="00571A19">
              <w:t xml:space="preserve"> года </w:t>
            </w:r>
          </w:p>
          <w:p w:rsidR="00693359" w:rsidRPr="00571A19" w:rsidRDefault="00693359" w:rsidP="00693359"/>
        </w:tc>
        <w:tc>
          <w:tcPr>
            <w:tcW w:w="0" w:type="auto"/>
            <w:vAlign w:val="center"/>
          </w:tcPr>
          <w:p w:rsidR="00F51876" w:rsidRPr="00571A19" w:rsidRDefault="00F51876">
            <w:pPr>
              <w:jc w:val="right"/>
            </w:pPr>
          </w:p>
        </w:tc>
      </w:tr>
    </w:tbl>
    <w:p w:rsidR="004A44B1" w:rsidRPr="00571A19" w:rsidRDefault="00F51876" w:rsidP="000E67F7">
      <w:pPr>
        <w:pStyle w:val="aa"/>
        <w:jc w:val="both"/>
      </w:pPr>
      <w:r w:rsidRPr="00571A19">
        <w:t>      </w:t>
      </w:r>
      <w:r w:rsidR="00540719" w:rsidRPr="00571A19">
        <w:t xml:space="preserve">      </w:t>
      </w:r>
      <w:proofErr w:type="gramStart"/>
      <w:r w:rsidRPr="00571A19">
        <w:t>Заключение</w:t>
      </w:r>
      <w:r w:rsidR="00540719" w:rsidRPr="00571A19">
        <w:t xml:space="preserve">    </w:t>
      </w:r>
      <w:r w:rsidRPr="00571A19">
        <w:t xml:space="preserve"> Контрольно-</w:t>
      </w:r>
      <w:bookmarkStart w:id="0" w:name="_ftnref1" w:colFirst="0" w:colLast="0"/>
      <w:r w:rsidR="00094347" w:rsidRPr="00571A19">
        <w:t>ревизионной комиссии</w:t>
      </w:r>
      <w:r w:rsidR="00855FB7" w:rsidRPr="00571A19">
        <w:t xml:space="preserve"> Троснянского района </w:t>
      </w:r>
      <w:r w:rsidR="00094347" w:rsidRPr="00571A19">
        <w:t xml:space="preserve"> </w:t>
      </w:r>
      <w:r w:rsidRPr="00571A19">
        <w:t xml:space="preserve">на проект </w:t>
      </w:r>
      <w:r w:rsidR="00540719" w:rsidRPr="00571A19">
        <w:t xml:space="preserve">  </w:t>
      </w:r>
      <w:r w:rsidRPr="00571A19">
        <w:t xml:space="preserve">решения </w:t>
      </w:r>
      <w:r w:rsidR="00540719" w:rsidRPr="00571A19">
        <w:t xml:space="preserve">     </w:t>
      </w:r>
      <w:r w:rsidR="00094347" w:rsidRPr="00571A19">
        <w:t xml:space="preserve">Троснянского районного Совета народных депутатов </w:t>
      </w:r>
      <w:r w:rsidRPr="00571A19">
        <w:t xml:space="preserve">«О принятии решения «О внесении изменений в </w:t>
      </w:r>
      <w:r w:rsidR="00855FB7" w:rsidRPr="00571A19">
        <w:t>решение</w:t>
      </w:r>
      <w:r w:rsidRPr="00571A19">
        <w:t xml:space="preserve"> </w:t>
      </w:r>
      <w:bookmarkStart w:id="1" w:name="_ftnref2" w:colFirst="0" w:colLast="0"/>
      <w:r w:rsidR="00094347" w:rsidRPr="00571A19">
        <w:t xml:space="preserve">Троснянского районного Совета народных депутатов </w:t>
      </w:r>
      <w:r w:rsidRPr="00571A19">
        <w:t xml:space="preserve">от </w:t>
      </w:r>
      <w:r w:rsidR="006C2C25" w:rsidRPr="00571A19">
        <w:t>18</w:t>
      </w:r>
      <w:r w:rsidR="00855FB7" w:rsidRPr="00571A19">
        <w:t>.12.201</w:t>
      </w:r>
      <w:r w:rsidR="006C2C25" w:rsidRPr="00571A19">
        <w:t>2</w:t>
      </w:r>
      <w:r w:rsidR="00855FB7" w:rsidRPr="00571A19">
        <w:t xml:space="preserve"> года</w:t>
      </w:r>
      <w:r w:rsidR="008D61BA" w:rsidRPr="00571A19">
        <w:t xml:space="preserve"> </w:t>
      </w:r>
      <w:r w:rsidRPr="00571A19">
        <w:t xml:space="preserve"> № </w:t>
      </w:r>
      <w:r w:rsidR="006C2C25" w:rsidRPr="00571A19">
        <w:t>175</w:t>
      </w:r>
      <w:r w:rsidR="002D3009" w:rsidRPr="00571A19">
        <w:t xml:space="preserve"> </w:t>
      </w:r>
      <w:r w:rsidR="00094347" w:rsidRPr="00571A19">
        <w:t>«О бюджете Троснянского района</w:t>
      </w:r>
      <w:r w:rsidRPr="00571A19">
        <w:t xml:space="preserve"> на 201</w:t>
      </w:r>
      <w:r w:rsidR="006C2C25" w:rsidRPr="00571A19">
        <w:t>3</w:t>
      </w:r>
      <w:r w:rsidRPr="00571A19">
        <w:t xml:space="preserve"> год и плановый период 201</w:t>
      </w:r>
      <w:r w:rsidR="006C2C25" w:rsidRPr="00571A19">
        <w:t>4</w:t>
      </w:r>
      <w:r w:rsidRPr="00571A19">
        <w:t>-201</w:t>
      </w:r>
      <w:r w:rsidR="006C2C25" w:rsidRPr="00571A19">
        <w:t>5</w:t>
      </w:r>
      <w:r w:rsidRPr="00571A19">
        <w:t xml:space="preserve"> годов»</w:t>
      </w:r>
      <w:bookmarkStart w:id="2" w:name="_ftnref3" w:colFirst="0" w:colLast="0"/>
      <w:r w:rsidR="002B0EAC" w:rsidRPr="00571A19">
        <w:t xml:space="preserve"> (в редакции решения </w:t>
      </w:r>
      <w:proofErr w:type="spellStart"/>
      <w:r w:rsidR="002B0EAC" w:rsidRPr="00571A19">
        <w:t>Тросняского</w:t>
      </w:r>
      <w:proofErr w:type="spellEnd"/>
      <w:r w:rsidR="002B0EAC" w:rsidRPr="00571A19">
        <w:t xml:space="preserve"> РСНД от 21.03.2013 года № 194)</w:t>
      </w:r>
      <w:hyperlink r:id="rId8" w:anchor="_ftn3#_ftn3" w:tooltip="" w:history="1">
        <w:r w:rsidRPr="00571A19">
          <w:rPr>
            <w:rStyle w:val="a3"/>
          </w:rPr>
          <w:t xml:space="preserve"> </w:t>
        </w:r>
      </w:hyperlink>
      <w:r w:rsidRPr="00571A19">
        <w:t>подготовлено</w:t>
      </w:r>
      <w:r w:rsidR="00540719" w:rsidRPr="00571A19">
        <w:t xml:space="preserve">  </w:t>
      </w:r>
      <w:r w:rsidRPr="00571A19">
        <w:t xml:space="preserve"> на </w:t>
      </w:r>
      <w:r w:rsidR="00540719" w:rsidRPr="00571A19">
        <w:t xml:space="preserve">  </w:t>
      </w:r>
      <w:r w:rsidRPr="00571A19">
        <w:t xml:space="preserve">основании </w:t>
      </w:r>
      <w:r w:rsidR="00540719" w:rsidRPr="00571A19">
        <w:t xml:space="preserve">  </w:t>
      </w:r>
      <w:r w:rsidR="00855FB7" w:rsidRPr="00571A19">
        <w:t>п.п.3  п.92</w:t>
      </w:r>
      <w:r w:rsidRPr="00571A19">
        <w:t xml:space="preserve"> </w:t>
      </w:r>
      <w:r w:rsidR="002D3009" w:rsidRPr="00571A19">
        <w:t xml:space="preserve"> </w:t>
      </w:r>
      <w:r w:rsidR="007F713D" w:rsidRPr="00571A19">
        <w:t>П</w:t>
      </w:r>
      <w:r w:rsidR="002D3009" w:rsidRPr="00571A19">
        <w:t>оложения</w:t>
      </w:r>
      <w:proofErr w:type="gramEnd"/>
      <w:r w:rsidR="002D3009" w:rsidRPr="00571A19">
        <w:t xml:space="preserve"> о бюджетном </w:t>
      </w:r>
      <w:r w:rsidRPr="00571A19">
        <w:t xml:space="preserve">процессе в </w:t>
      </w:r>
      <w:r w:rsidR="002D3009" w:rsidRPr="00571A19">
        <w:t>Троснянском районе</w:t>
      </w:r>
      <w:r w:rsidRPr="00571A19">
        <w:t xml:space="preserve">, принятого </w:t>
      </w:r>
      <w:r w:rsidR="00855FB7" w:rsidRPr="00571A19">
        <w:t xml:space="preserve">решением </w:t>
      </w:r>
      <w:r w:rsidR="002D3009" w:rsidRPr="00571A19">
        <w:t xml:space="preserve"> Троснянского районного Совета народных депутатов</w:t>
      </w:r>
      <w:r w:rsidRPr="00571A19">
        <w:t xml:space="preserve"> </w:t>
      </w:r>
      <w:r w:rsidR="002D3009" w:rsidRPr="00571A19">
        <w:t xml:space="preserve"> </w:t>
      </w:r>
      <w:r w:rsidRPr="00571A19">
        <w:t>2</w:t>
      </w:r>
      <w:r w:rsidR="00855FB7" w:rsidRPr="00571A19">
        <w:t xml:space="preserve">1.07.2011 года </w:t>
      </w:r>
      <w:r w:rsidRPr="00571A19">
        <w:t xml:space="preserve"> №</w:t>
      </w:r>
      <w:bookmarkStart w:id="3" w:name="_ftnref4" w:colFirst="0" w:colLast="0"/>
      <w:r w:rsidR="00855FB7" w:rsidRPr="00571A19">
        <w:t>38</w:t>
      </w:r>
      <w:r w:rsidRPr="00571A19">
        <w:t>.</w:t>
      </w:r>
    </w:p>
    <w:p w:rsidR="00B33BB9" w:rsidRPr="00571A19" w:rsidRDefault="004A44B1" w:rsidP="000E67F7">
      <w:pPr>
        <w:pStyle w:val="aa"/>
        <w:jc w:val="both"/>
      </w:pPr>
      <w:r w:rsidRPr="00571A19">
        <w:t xml:space="preserve">         Районный Совет народных депутатов в Контрольно-ревизионную комиссию  на экспертизу проект решения Троснянского районного Совета народных депутатов  «О внесении изменений в решение Троснянского районного Совета народных депутатов «О бюджете муниципального района на 2012 год и на плановый период 2013-2014 годов» </w:t>
      </w:r>
      <w:r w:rsidR="00545C0E" w:rsidRPr="00571A19">
        <w:t>не направил.</w:t>
      </w:r>
      <w:r w:rsidRPr="00571A19">
        <w:t xml:space="preserve"> </w:t>
      </w:r>
      <w:r w:rsidR="00F51876" w:rsidRPr="00571A19">
        <w:br/>
      </w:r>
      <w:r w:rsidR="00540719" w:rsidRPr="00571A19">
        <w:t xml:space="preserve">              </w:t>
      </w:r>
      <w:r w:rsidR="00545C0E" w:rsidRPr="00571A19">
        <w:t>Экспертиза пр</w:t>
      </w:r>
      <w:r w:rsidR="00F51876" w:rsidRPr="00571A19">
        <w:t>оект</w:t>
      </w:r>
      <w:r w:rsidR="00545C0E" w:rsidRPr="00571A19">
        <w:t>а</w:t>
      </w:r>
      <w:r w:rsidR="00540719" w:rsidRPr="00571A19">
        <w:t xml:space="preserve">   </w:t>
      </w:r>
      <w:r w:rsidR="00F51876" w:rsidRPr="00571A19">
        <w:t xml:space="preserve"> решения </w:t>
      </w:r>
      <w:r w:rsidR="00540719" w:rsidRPr="00571A19">
        <w:t xml:space="preserve"> </w:t>
      </w:r>
      <w:r w:rsidR="00545C0E" w:rsidRPr="00571A19">
        <w:t>проводилась по материалам финансового отдела администрации Троснянского района. В ходе проведения экспертизы финансовому отделу внесены рекомендации по оформлению приложений  к проекту решения</w:t>
      </w:r>
      <w:proofErr w:type="gramStart"/>
      <w:r w:rsidR="00545C0E" w:rsidRPr="00571A19">
        <w:t xml:space="preserve"> ,</w:t>
      </w:r>
      <w:proofErr w:type="gramEnd"/>
      <w:r w:rsidR="00545C0E" w:rsidRPr="00571A19">
        <w:t xml:space="preserve"> финансовым отделом внесены предложенные  коррективы.</w:t>
      </w:r>
      <w:bookmarkStart w:id="4" w:name="_ftnref5" w:colFirst="0" w:colLast="0"/>
      <w:r w:rsidR="00F51876" w:rsidRPr="00571A19">
        <w:t xml:space="preserve"> </w:t>
      </w:r>
      <w:r w:rsidR="008E1F99" w:rsidRPr="00571A19">
        <w:t xml:space="preserve"> </w:t>
      </w:r>
      <w:bookmarkStart w:id="5" w:name="_ftnref6" w:colFirst="0" w:colLast="0"/>
      <w:r w:rsidR="00540719" w:rsidRPr="00571A19">
        <w:t>Изменения доходной  и</w:t>
      </w:r>
      <w:r w:rsidR="00F51876" w:rsidRPr="00571A19">
        <w:t xml:space="preserve"> </w:t>
      </w:r>
      <w:r w:rsidR="00540719" w:rsidRPr="00571A19">
        <w:t xml:space="preserve"> </w:t>
      </w:r>
      <w:r w:rsidR="00F51876" w:rsidRPr="00571A19">
        <w:t xml:space="preserve">расходной </w:t>
      </w:r>
      <w:r w:rsidR="00540719" w:rsidRPr="00571A19">
        <w:t xml:space="preserve"> </w:t>
      </w:r>
      <w:r w:rsidR="00F51876" w:rsidRPr="00571A19">
        <w:t xml:space="preserve">частей </w:t>
      </w:r>
      <w:r w:rsidR="003B0973" w:rsidRPr="00571A19">
        <w:t xml:space="preserve"> </w:t>
      </w:r>
      <w:r w:rsidR="00540719" w:rsidRPr="00571A19">
        <w:t xml:space="preserve"> </w:t>
      </w:r>
      <w:r w:rsidR="003B0973" w:rsidRPr="00571A19">
        <w:t xml:space="preserve">районного </w:t>
      </w:r>
      <w:r w:rsidR="00540719" w:rsidRPr="00571A19">
        <w:t xml:space="preserve"> </w:t>
      </w:r>
      <w:r w:rsidR="00F51876" w:rsidRPr="00571A19">
        <w:t>бюджета</w:t>
      </w:r>
      <w:r w:rsidR="00540719" w:rsidRPr="00571A19">
        <w:t xml:space="preserve"> </w:t>
      </w:r>
      <w:r w:rsidR="00F51876" w:rsidRPr="00571A19">
        <w:t xml:space="preserve"> затрагивают </w:t>
      </w:r>
      <w:r w:rsidR="00540719" w:rsidRPr="00571A19">
        <w:t xml:space="preserve"> </w:t>
      </w:r>
      <w:r w:rsidR="00F51876" w:rsidRPr="00571A19">
        <w:t xml:space="preserve">параметры </w:t>
      </w:r>
      <w:r w:rsidR="00540719" w:rsidRPr="00571A19">
        <w:t xml:space="preserve"> </w:t>
      </w:r>
      <w:r w:rsidR="00F51876" w:rsidRPr="00571A19">
        <w:t>201</w:t>
      </w:r>
      <w:r w:rsidR="006C2C25" w:rsidRPr="00571A19">
        <w:t>3</w:t>
      </w:r>
      <w:r w:rsidR="00F51876" w:rsidRPr="00571A19">
        <w:t xml:space="preserve"> </w:t>
      </w:r>
      <w:r w:rsidR="00540719" w:rsidRPr="00571A19">
        <w:t xml:space="preserve"> </w:t>
      </w:r>
      <w:r w:rsidR="00F51876" w:rsidRPr="00571A19">
        <w:t>года</w:t>
      </w:r>
      <w:r w:rsidR="00540719" w:rsidRPr="00571A19">
        <w:t>.</w:t>
      </w:r>
    </w:p>
    <w:p w:rsidR="00B067C3" w:rsidRPr="00571A19" w:rsidRDefault="00855FB7" w:rsidP="000E67F7">
      <w:pPr>
        <w:pStyle w:val="aa"/>
        <w:jc w:val="both"/>
      </w:pPr>
      <w:r w:rsidRPr="00571A19">
        <w:t xml:space="preserve"> </w:t>
      </w:r>
      <w:r w:rsidR="00670EB5" w:rsidRPr="00571A19">
        <w:t xml:space="preserve">    </w:t>
      </w:r>
      <w:r w:rsidR="000E67F7" w:rsidRPr="00571A19">
        <w:t xml:space="preserve">     </w:t>
      </w:r>
      <w:proofErr w:type="gramStart"/>
      <w:r w:rsidR="00D12A44" w:rsidRPr="00571A19">
        <w:t>В нарушение</w:t>
      </w:r>
      <w:r w:rsidR="00B33BB9" w:rsidRPr="00571A19">
        <w:t xml:space="preserve"> п.91  </w:t>
      </w:r>
      <w:r w:rsidR="000609C6" w:rsidRPr="00571A19">
        <w:t>П</w:t>
      </w:r>
      <w:r w:rsidR="00B33BB9" w:rsidRPr="00571A19">
        <w:t>оложения о бюджетном процессе одновременно с проектом</w:t>
      </w:r>
      <w:r w:rsidR="00F51876" w:rsidRPr="00571A19">
        <w:t xml:space="preserve"> </w:t>
      </w:r>
      <w:r w:rsidR="00540719" w:rsidRPr="00571A19">
        <w:t xml:space="preserve"> </w:t>
      </w:r>
      <w:r w:rsidR="00F51876" w:rsidRPr="00571A19">
        <w:t xml:space="preserve"> </w:t>
      </w:r>
      <w:r w:rsidR="00540719" w:rsidRPr="00571A19">
        <w:t xml:space="preserve"> </w:t>
      </w:r>
      <w:r w:rsidR="00F51876" w:rsidRPr="00571A19">
        <w:t xml:space="preserve">решения </w:t>
      </w:r>
      <w:r w:rsidR="009F27F5" w:rsidRPr="00571A19">
        <w:t xml:space="preserve"> </w:t>
      </w:r>
      <w:r w:rsidR="00B067C3" w:rsidRPr="00571A19">
        <w:t xml:space="preserve">администрацией </w:t>
      </w:r>
      <w:r w:rsidR="00D12A44" w:rsidRPr="00571A19">
        <w:t>не</w:t>
      </w:r>
      <w:r w:rsidR="00020D6C" w:rsidRPr="00571A19">
        <w:t xml:space="preserve"> представл</w:t>
      </w:r>
      <w:r w:rsidR="00D12A44" w:rsidRPr="00571A19">
        <w:t>ены</w:t>
      </w:r>
      <w:r w:rsidR="00020D6C" w:rsidRPr="00571A19">
        <w:t xml:space="preserve"> сведения об исполнении бюджета Троснянского района за истекший  отчетный период текущего финансового года</w:t>
      </w:r>
      <w:r w:rsidR="005F19F2" w:rsidRPr="00571A19">
        <w:t xml:space="preserve">, </w:t>
      </w:r>
      <w:r w:rsidR="00020D6C" w:rsidRPr="00571A19">
        <w:t xml:space="preserve"> оценка ожидаемого исполнения бюджета </w:t>
      </w:r>
      <w:r w:rsidR="00B9142B" w:rsidRPr="00571A19">
        <w:t>Троснянского района в текущем финансовом году</w:t>
      </w:r>
      <w:r w:rsidR="005F19F2" w:rsidRPr="00571A19">
        <w:t xml:space="preserve"> и </w:t>
      </w:r>
      <w:r w:rsidR="00B067C3" w:rsidRPr="00571A19">
        <w:t xml:space="preserve"> пояснительная записка с обоснованием с обоснованием предлагаемых изменений в решение о бюджете Троснянского района</w:t>
      </w:r>
      <w:r w:rsidR="00D12A44" w:rsidRPr="00571A19">
        <w:t>.</w:t>
      </w:r>
      <w:proofErr w:type="gramEnd"/>
    </w:p>
    <w:p w:rsidR="00B067C3" w:rsidRPr="00571A19" w:rsidRDefault="00B067C3" w:rsidP="000E67F7">
      <w:pPr>
        <w:pStyle w:val="aa"/>
        <w:jc w:val="both"/>
      </w:pPr>
    </w:p>
    <w:p w:rsidR="00B4787E" w:rsidRPr="00571A19" w:rsidRDefault="00F51876" w:rsidP="00B067C3">
      <w:pPr>
        <w:pStyle w:val="aa"/>
        <w:jc w:val="center"/>
        <w:rPr>
          <w:rStyle w:val="a5"/>
        </w:rPr>
      </w:pPr>
      <w:bookmarkStart w:id="6" w:name="_ftnref7" w:colFirst="0" w:colLast="0"/>
      <w:bookmarkStart w:id="7" w:name="_ftnref8" w:colFirst="0" w:colLast="0"/>
      <w:bookmarkStart w:id="8" w:name="_ftnref9" w:colFirst="0" w:colLast="0"/>
      <w:r w:rsidRPr="00571A19">
        <w:rPr>
          <w:rStyle w:val="a5"/>
        </w:rPr>
        <w:t xml:space="preserve">I. Доходы </w:t>
      </w:r>
      <w:r w:rsidR="003B0973" w:rsidRPr="00571A19">
        <w:rPr>
          <w:rStyle w:val="a5"/>
        </w:rPr>
        <w:t xml:space="preserve">районного </w:t>
      </w:r>
      <w:r w:rsidRPr="00571A19">
        <w:rPr>
          <w:rStyle w:val="a5"/>
        </w:rPr>
        <w:t>бюджета на 201</w:t>
      </w:r>
      <w:r w:rsidR="006C2C25" w:rsidRPr="00571A19">
        <w:rPr>
          <w:rStyle w:val="a5"/>
        </w:rPr>
        <w:t>3</w:t>
      </w:r>
      <w:r w:rsidRPr="00571A19">
        <w:rPr>
          <w:rStyle w:val="a5"/>
        </w:rPr>
        <w:t xml:space="preserve"> год</w:t>
      </w:r>
      <w:proofErr w:type="gramStart"/>
      <w:r w:rsidRPr="00571A19">
        <w:rPr>
          <w:rStyle w:val="a5"/>
        </w:rPr>
        <w:t xml:space="preserve"> </w:t>
      </w:r>
      <w:r w:rsidR="00B4787E" w:rsidRPr="00571A19">
        <w:rPr>
          <w:rStyle w:val="a5"/>
        </w:rPr>
        <w:t>.</w:t>
      </w:r>
      <w:proofErr w:type="gramEnd"/>
    </w:p>
    <w:p w:rsidR="00B9142B" w:rsidRPr="00571A19" w:rsidRDefault="00B9142B" w:rsidP="000E67F7">
      <w:pPr>
        <w:pStyle w:val="aa"/>
        <w:jc w:val="both"/>
        <w:rPr>
          <w:rStyle w:val="a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1"/>
        <w:gridCol w:w="2492"/>
        <w:gridCol w:w="2492"/>
        <w:gridCol w:w="2492"/>
      </w:tblGrid>
      <w:tr w:rsidR="00BC7D07" w:rsidRPr="00571A19" w:rsidTr="00F504EE">
        <w:tc>
          <w:tcPr>
            <w:tcW w:w="2491" w:type="dxa"/>
          </w:tcPr>
          <w:p w:rsidR="00BC7D07" w:rsidRPr="00571A19" w:rsidRDefault="00BC7D07" w:rsidP="00F41B87">
            <w:pPr>
              <w:pStyle w:val="aa"/>
              <w:jc w:val="both"/>
              <w:rPr>
                <w:rStyle w:val="a5"/>
              </w:rPr>
            </w:pPr>
            <w:r w:rsidRPr="00571A19">
              <w:rPr>
                <w:rStyle w:val="a5"/>
              </w:rPr>
              <w:t>Наименование</w:t>
            </w:r>
          </w:p>
        </w:tc>
        <w:tc>
          <w:tcPr>
            <w:tcW w:w="2492" w:type="dxa"/>
            <w:vAlign w:val="center"/>
          </w:tcPr>
          <w:p w:rsidR="00BC7D07" w:rsidRPr="00571A19" w:rsidRDefault="00B067C3" w:rsidP="00F504EE">
            <w:pPr>
              <w:pStyle w:val="aa"/>
            </w:pPr>
            <w:r w:rsidRPr="00571A19">
              <w:t xml:space="preserve">Утверждено </w:t>
            </w:r>
            <w:proofErr w:type="spellStart"/>
            <w:r w:rsidRPr="00571A19">
              <w:t>р</w:t>
            </w:r>
            <w:r w:rsidR="00BC7D07" w:rsidRPr="00571A19">
              <w:t>еш</w:t>
            </w:r>
            <w:proofErr w:type="spellEnd"/>
            <w:r w:rsidR="00571A19">
              <w:t>.</w:t>
            </w:r>
            <w:r w:rsidRPr="00571A19">
              <w:t xml:space="preserve"> РСНД</w:t>
            </w:r>
            <w:r w:rsidR="00BC7D07" w:rsidRPr="00571A19">
              <w:t xml:space="preserve">№ </w:t>
            </w:r>
            <w:r w:rsidR="006C2C25" w:rsidRPr="00571A19">
              <w:t>175</w:t>
            </w:r>
          </w:p>
          <w:p w:rsidR="00BC7D07" w:rsidRPr="00571A19" w:rsidRDefault="00BC7D07" w:rsidP="006C2C25">
            <w:pPr>
              <w:pStyle w:val="aa"/>
            </w:pPr>
            <w:r w:rsidRPr="00571A19">
              <w:t xml:space="preserve">От </w:t>
            </w:r>
            <w:r w:rsidR="006C2C25" w:rsidRPr="00571A19">
              <w:t>18</w:t>
            </w:r>
            <w:r w:rsidRPr="00571A19">
              <w:t>.12.201</w:t>
            </w:r>
            <w:r w:rsidR="006C2C25" w:rsidRPr="00571A19">
              <w:t>2</w:t>
            </w:r>
            <w:r w:rsidRPr="00571A19">
              <w:t xml:space="preserve"> г</w:t>
            </w:r>
            <w:proofErr w:type="gramStart"/>
            <w:r w:rsidRPr="00571A19">
              <w:t>.</w:t>
            </w:r>
            <w:r w:rsidR="002B0EAC" w:rsidRPr="00571A19">
              <w:t>(</w:t>
            </w:r>
            <w:proofErr w:type="gramEnd"/>
            <w:r w:rsidR="002B0EAC" w:rsidRPr="00571A19">
              <w:t xml:space="preserve"> в ред. Решения от 21.03.2013 г. № 194)</w:t>
            </w:r>
          </w:p>
        </w:tc>
        <w:tc>
          <w:tcPr>
            <w:tcW w:w="2492" w:type="dxa"/>
          </w:tcPr>
          <w:p w:rsidR="00BC7D07" w:rsidRPr="00571A19" w:rsidRDefault="00BC7D07" w:rsidP="006C2C25">
            <w:pPr>
              <w:pStyle w:val="aa"/>
            </w:pPr>
            <w:r w:rsidRPr="00571A19">
              <w:t xml:space="preserve">  Проект решения </w:t>
            </w:r>
            <w:r w:rsidR="00B067C3" w:rsidRPr="00571A19">
              <w:t xml:space="preserve"> </w:t>
            </w:r>
          </w:p>
        </w:tc>
        <w:tc>
          <w:tcPr>
            <w:tcW w:w="2492" w:type="dxa"/>
            <w:vAlign w:val="center"/>
          </w:tcPr>
          <w:p w:rsidR="00BC7D07" w:rsidRPr="00571A19" w:rsidRDefault="00BC7D07" w:rsidP="00BC7D07">
            <w:pPr>
              <w:pStyle w:val="aa"/>
            </w:pPr>
            <w:r w:rsidRPr="00571A19">
              <w:t xml:space="preserve">Отклонение от первоначального бюджета  </w:t>
            </w:r>
          </w:p>
          <w:p w:rsidR="00BC7D07" w:rsidRPr="00571A19" w:rsidRDefault="00BC7D07" w:rsidP="00F504EE">
            <w:pPr>
              <w:pStyle w:val="aa"/>
            </w:pPr>
          </w:p>
        </w:tc>
      </w:tr>
      <w:tr w:rsidR="00BC7D07" w:rsidRPr="00571A19" w:rsidTr="00F504EE">
        <w:tc>
          <w:tcPr>
            <w:tcW w:w="2491" w:type="dxa"/>
            <w:vAlign w:val="center"/>
          </w:tcPr>
          <w:p w:rsidR="00BC7D07" w:rsidRPr="00571A19" w:rsidRDefault="00BC7D07" w:rsidP="00F504EE">
            <w:pPr>
              <w:pStyle w:val="aa"/>
              <w:rPr>
                <w:b/>
              </w:rPr>
            </w:pPr>
            <w:r w:rsidRPr="00571A19">
              <w:rPr>
                <w:rStyle w:val="a5"/>
                <w:b w:val="0"/>
              </w:rPr>
              <w:t>Налоговые и неналоговые доходы</w:t>
            </w:r>
          </w:p>
        </w:tc>
        <w:tc>
          <w:tcPr>
            <w:tcW w:w="2492" w:type="dxa"/>
            <w:vAlign w:val="bottom"/>
          </w:tcPr>
          <w:p w:rsidR="00BC7D07" w:rsidRPr="00571A19" w:rsidRDefault="00BC7D07" w:rsidP="006C2C25">
            <w:pPr>
              <w:pStyle w:val="aa"/>
              <w:rPr>
                <w:b/>
              </w:rPr>
            </w:pPr>
            <w:r w:rsidRPr="00571A19">
              <w:rPr>
                <w:rStyle w:val="a5"/>
                <w:b w:val="0"/>
              </w:rPr>
              <w:t>3</w:t>
            </w:r>
            <w:r w:rsidR="006C2C25" w:rsidRPr="00571A19">
              <w:rPr>
                <w:rStyle w:val="a5"/>
                <w:b w:val="0"/>
              </w:rPr>
              <w:t>3702.5</w:t>
            </w:r>
          </w:p>
        </w:tc>
        <w:tc>
          <w:tcPr>
            <w:tcW w:w="2492" w:type="dxa"/>
          </w:tcPr>
          <w:p w:rsidR="00BC7D07" w:rsidRPr="00571A19" w:rsidRDefault="006C2C25" w:rsidP="006C2C25">
            <w:pPr>
              <w:pStyle w:val="aa"/>
              <w:rPr>
                <w:rStyle w:val="a5"/>
                <w:b w:val="0"/>
              </w:rPr>
            </w:pPr>
            <w:r w:rsidRPr="00571A19">
              <w:rPr>
                <w:rStyle w:val="a5"/>
                <w:b w:val="0"/>
              </w:rPr>
              <w:t>33702.5</w:t>
            </w:r>
          </w:p>
        </w:tc>
        <w:tc>
          <w:tcPr>
            <w:tcW w:w="2492" w:type="dxa"/>
            <w:vAlign w:val="bottom"/>
          </w:tcPr>
          <w:p w:rsidR="00BC7D07" w:rsidRPr="00571A19" w:rsidRDefault="00BC7D07" w:rsidP="00F504EE">
            <w:pPr>
              <w:pStyle w:val="aa"/>
              <w:rPr>
                <w:b/>
              </w:rPr>
            </w:pPr>
          </w:p>
        </w:tc>
      </w:tr>
      <w:tr w:rsidR="00BC7D07" w:rsidRPr="00571A19" w:rsidTr="00F504EE">
        <w:tc>
          <w:tcPr>
            <w:tcW w:w="2491" w:type="dxa"/>
            <w:vAlign w:val="center"/>
          </w:tcPr>
          <w:p w:rsidR="00BC7D07" w:rsidRPr="00571A19" w:rsidRDefault="00BC7D07" w:rsidP="00F504EE">
            <w:pPr>
              <w:pStyle w:val="aa"/>
            </w:pPr>
            <w:r w:rsidRPr="00571A19">
              <w:t>Безвозмездные поступления</w:t>
            </w:r>
          </w:p>
        </w:tc>
        <w:tc>
          <w:tcPr>
            <w:tcW w:w="2492" w:type="dxa"/>
            <w:vAlign w:val="bottom"/>
          </w:tcPr>
          <w:p w:rsidR="00BC7D07" w:rsidRPr="00571A19" w:rsidRDefault="006C2C25" w:rsidP="002B0EAC">
            <w:pPr>
              <w:pStyle w:val="aa"/>
            </w:pPr>
            <w:r w:rsidRPr="00571A19">
              <w:rPr>
                <w:lang w:val="en-US"/>
              </w:rPr>
              <w:t>1</w:t>
            </w:r>
            <w:r w:rsidR="002B0EAC" w:rsidRPr="00571A19">
              <w:t>22387,3</w:t>
            </w:r>
          </w:p>
        </w:tc>
        <w:tc>
          <w:tcPr>
            <w:tcW w:w="2492" w:type="dxa"/>
          </w:tcPr>
          <w:p w:rsidR="00BC7D07" w:rsidRPr="00571A19" w:rsidRDefault="006C2C25" w:rsidP="002B0EAC">
            <w:pPr>
              <w:pStyle w:val="aa"/>
            </w:pPr>
            <w:r w:rsidRPr="00571A19">
              <w:rPr>
                <w:lang w:val="en-US"/>
              </w:rPr>
              <w:t>12</w:t>
            </w:r>
            <w:r w:rsidR="002B0EAC" w:rsidRPr="00571A19">
              <w:t>9425,1</w:t>
            </w:r>
          </w:p>
        </w:tc>
        <w:tc>
          <w:tcPr>
            <w:tcW w:w="2492" w:type="dxa"/>
            <w:vAlign w:val="bottom"/>
          </w:tcPr>
          <w:p w:rsidR="00BC7D07" w:rsidRPr="00571A19" w:rsidRDefault="00BC7D07" w:rsidP="002B0EAC">
            <w:pPr>
              <w:pStyle w:val="aa"/>
            </w:pPr>
            <w:r w:rsidRPr="00571A19">
              <w:t>+</w:t>
            </w:r>
            <w:r w:rsidR="002B0EAC" w:rsidRPr="00571A19">
              <w:t>7037,8</w:t>
            </w:r>
          </w:p>
        </w:tc>
      </w:tr>
      <w:tr w:rsidR="00BC7D07" w:rsidRPr="00571A19" w:rsidTr="00F504EE">
        <w:tc>
          <w:tcPr>
            <w:tcW w:w="2491" w:type="dxa"/>
            <w:vAlign w:val="center"/>
          </w:tcPr>
          <w:p w:rsidR="00BC7D07" w:rsidRPr="00571A19" w:rsidRDefault="00BC7D07" w:rsidP="00F504EE">
            <w:pPr>
              <w:pStyle w:val="aa"/>
            </w:pPr>
            <w:r w:rsidRPr="00571A19">
              <w:t>Всего доходов</w:t>
            </w:r>
          </w:p>
        </w:tc>
        <w:tc>
          <w:tcPr>
            <w:tcW w:w="2492" w:type="dxa"/>
            <w:vAlign w:val="bottom"/>
          </w:tcPr>
          <w:p w:rsidR="00BC7D07" w:rsidRPr="00571A19" w:rsidRDefault="006C2C25" w:rsidP="002B0EAC">
            <w:pPr>
              <w:pStyle w:val="aa"/>
            </w:pPr>
            <w:r w:rsidRPr="00571A19">
              <w:rPr>
                <w:lang w:val="en-US"/>
              </w:rPr>
              <w:t>1</w:t>
            </w:r>
            <w:r w:rsidR="002B0EAC" w:rsidRPr="00571A19">
              <w:t>56089,8</w:t>
            </w:r>
          </w:p>
        </w:tc>
        <w:tc>
          <w:tcPr>
            <w:tcW w:w="2492" w:type="dxa"/>
          </w:tcPr>
          <w:p w:rsidR="00BC7D07" w:rsidRPr="00571A19" w:rsidRDefault="00BC7D07" w:rsidP="002B0EAC">
            <w:pPr>
              <w:pStyle w:val="aa"/>
            </w:pPr>
            <w:r w:rsidRPr="00571A19">
              <w:t>1</w:t>
            </w:r>
            <w:r w:rsidR="002B0EAC" w:rsidRPr="00571A19">
              <w:t>63127,6</w:t>
            </w:r>
          </w:p>
        </w:tc>
        <w:tc>
          <w:tcPr>
            <w:tcW w:w="2492" w:type="dxa"/>
            <w:vAlign w:val="bottom"/>
          </w:tcPr>
          <w:p w:rsidR="00BC7D07" w:rsidRPr="00571A19" w:rsidRDefault="00BC7D07" w:rsidP="002B0EAC">
            <w:pPr>
              <w:pStyle w:val="aa"/>
            </w:pPr>
            <w:r w:rsidRPr="00571A19">
              <w:t>+</w:t>
            </w:r>
            <w:r w:rsidR="002B0EAC" w:rsidRPr="00571A19">
              <w:t>7037,8</w:t>
            </w:r>
          </w:p>
        </w:tc>
      </w:tr>
    </w:tbl>
    <w:p w:rsidR="00C84FB2" w:rsidRPr="00571A19" w:rsidRDefault="00FE0431" w:rsidP="00571A19">
      <w:pPr>
        <w:pStyle w:val="aa"/>
      </w:pPr>
      <w:r w:rsidRPr="00571A19">
        <w:t xml:space="preserve">          </w:t>
      </w:r>
      <w:r w:rsidR="00BC7D07" w:rsidRPr="00571A19">
        <w:t>По сравнению с объёмом доходов, предусмотренн</w:t>
      </w:r>
      <w:r w:rsidR="00D12A44" w:rsidRPr="00571A19">
        <w:t>ого</w:t>
      </w:r>
      <w:r w:rsidR="00BC7D07" w:rsidRPr="00571A19">
        <w:t xml:space="preserve">  районным бюджетом на 201</w:t>
      </w:r>
      <w:r w:rsidR="006C2C25" w:rsidRPr="00571A19">
        <w:t>3</w:t>
      </w:r>
      <w:r w:rsidR="00BC7D07" w:rsidRPr="00571A19">
        <w:t xml:space="preserve"> год  </w:t>
      </w:r>
      <w:r w:rsidRPr="00571A19">
        <w:t xml:space="preserve">(решение  от </w:t>
      </w:r>
      <w:r w:rsidR="006C2C25" w:rsidRPr="00571A19">
        <w:t>18</w:t>
      </w:r>
      <w:r w:rsidRPr="00571A19">
        <w:t>.12.201</w:t>
      </w:r>
      <w:r w:rsidR="006C2C25" w:rsidRPr="00571A19">
        <w:t>2</w:t>
      </w:r>
      <w:r w:rsidRPr="00571A19">
        <w:t xml:space="preserve"> года №</w:t>
      </w:r>
      <w:r w:rsidR="006C2C25" w:rsidRPr="00571A19">
        <w:t xml:space="preserve"> 175</w:t>
      </w:r>
      <w:r w:rsidR="00D12A44" w:rsidRPr="00571A19">
        <w:t xml:space="preserve"> в редакции решения Троснянского РСНД от 21.03.2013 года № 194</w:t>
      </w:r>
      <w:r w:rsidRPr="00571A19">
        <w:t>) и</w:t>
      </w:r>
      <w:r w:rsidR="00BC7D07" w:rsidRPr="00571A19">
        <w:t xml:space="preserve"> рассматриваемым проектом решения предлагается увеличение доходной части бюджета</w:t>
      </w:r>
      <w:r w:rsidR="00571A19">
        <w:t xml:space="preserve"> </w:t>
      </w:r>
      <w:r w:rsidR="00BC7D07" w:rsidRPr="00571A19">
        <w:t>на</w:t>
      </w:r>
      <w:r w:rsidR="00D12A44" w:rsidRPr="00571A19">
        <w:t xml:space="preserve"> 7037,8</w:t>
      </w:r>
      <w:r w:rsidR="00BC7D07" w:rsidRPr="00571A19">
        <w:t xml:space="preserve"> тыс. рублей</w:t>
      </w:r>
      <w:r w:rsidRPr="00571A19">
        <w:t>.</w:t>
      </w:r>
      <w:r w:rsidR="00BC7D07" w:rsidRPr="00571A19">
        <w:br/>
      </w:r>
      <w:bookmarkStart w:id="9" w:name="_ftnref10" w:colFirst="0" w:colLast="0"/>
      <w:bookmarkStart w:id="10" w:name="_ftnref11" w:colFirst="0" w:colLast="0"/>
      <w:r w:rsidRPr="00571A19">
        <w:t>И</w:t>
      </w:r>
      <w:r w:rsidR="00C84FB2" w:rsidRPr="00571A19">
        <w:t xml:space="preserve">зменения  в налоговые и неналоговые доходы </w:t>
      </w:r>
      <w:r w:rsidR="00446569" w:rsidRPr="00571A19">
        <w:t xml:space="preserve">в целом </w:t>
      </w:r>
      <w:r w:rsidR="00C84FB2" w:rsidRPr="00571A19">
        <w:t>не вносились.</w:t>
      </w:r>
      <w:r w:rsidR="00F86D9F" w:rsidRPr="00571A19">
        <w:t xml:space="preserve">     </w:t>
      </w:r>
    </w:p>
    <w:p w:rsidR="0006069C" w:rsidRPr="00571A19" w:rsidRDefault="00487818" w:rsidP="000E67F7">
      <w:pPr>
        <w:pStyle w:val="aa"/>
        <w:jc w:val="both"/>
      </w:pPr>
      <w:r w:rsidRPr="00571A19">
        <w:t xml:space="preserve">Сумма безвозмездных поступлений   увеличена на </w:t>
      </w:r>
      <w:r w:rsidR="00D12A44" w:rsidRPr="00571A19">
        <w:t>7037,8</w:t>
      </w:r>
      <w:r w:rsidR="00195854" w:rsidRPr="00571A19">
        <w:t xml:space="preserve"> тыс. рублей</w:t>
      </w:r>
      <w:r w:rsidR="00FE0431" w:rsidRPr="00571A19">
        <w:t>,</w:t>
      </w:r>
      <w:r w:rsidR="00F86D9F" w:rsidRPr="00571A19">
        <w:t xml:space="preserve"> </w:t>
      </w:r>
      <w:r w:rsidR="00446569" w:rsidRPr="00571A19">
        <w:t>в том числе:</w:t>
      </w:r>
      <w:r w:rsidR="00F86D9F" w:rsidRPr="00571A19">
        <w:t xml:space="preserve">      </w:t>
      </w:r>
      <w:r w:rsidRPr="00571A19">
        <w:t xml:space="preserve"> </w:t>
      </w:r>
      <w:r w:rsidR="00195854" w:rsidRPr="00571A19">
        <w:t xml:space="preserve"> </w:t>
      </w:r>
      <w:r w:rsidRPr="00571A19">
        <w:t xml:space="preserve"> </w:t>
      </w:r>
    </w:p>
    <w:p w:rsidR="00616EEE" w:rsidRPr="00571A19" w:rsidRDefault="00041DEC" w:rsidP="00B067C3">
      <w:pPr>
        <w:pStyle w:val="aa"/>
        <w:jc w:val="both"/>
        <w:rPr>
          <w:rFonts w:eastAsia="Arial Unicode MS"/>
        </w:rPr>
      </w:pPr>
      <w:r w:rsidRPr="00571A19">
        <w:rPr>
          <w:rFonts w:eastAsia="Arial Unicode MS"/>
          <w:b/>
        </w:rPr>
        <w:t xml:space="preserve">    -</w:t>
      </w:r>
      <w:r w:rsidR="00446569" w:rsidRPr="00571A19">
        <w:rPr>
          <w:rFonts w:eastAsia="Arial Unicode MS"/>
          <w:b/>
        </w:rPr>
        <w:t xml:space="preserve">по субсидиям в сумме </w:t>
      </w:r>
      <w:r w:rsidR="00D12A44" w:rsidRPr="00571A19">
        <w:rPr>
          <w:rFonts w:eastAsia="Arial Unicode MS"/>
          <w:b/>
        </w:rPr>
        <w:t>5837,8</w:t>
      </w:r>
      <w:r w:rsidR="00446569" w:rsidRPr="00571A19">
        <w:rPr>
          <w:rFonts w:eastAsia="Arial Unicode MS"/>
          <w:b/>
        </w:rPr>
        <w:t xml:space="preserve"> тыс. рублей</w:t>
      </w:r>
      <w:r w:rsidR="00D12A44" w:rsidRPr="00571A19">
        <w:rPr>
          <w:rFonts w:eastAsia="Arial Unicode MS"/>
          <w:b/>
        </w:rPr>
        <w:t xml:space="preserve">, </w:t>
      </w:r>
      <w:r w:rsidR="00D12A44" w:rsidRPr="00571A19">
        <w:rPr>
          <w:rFonts w:eastAsia="Arial Unicode MS"/>
        </w:rPr>
        <w:t>в том числе субсиди</w:t>
      </w:r>
      <w:r w:rsidR="00616EEE" w:rsidRPr="00571A19">
        <w:rPr>
          <w:rFonts w:eastAsia="Arial Unicode MS"/>
        </w:rPr>
        <w:t>я</w:t>
      </w:r>
      <w:r w:rsidR="00D12A44" w:rsidRPr="00571A19">
        <w:rPr>
          <w:rFonts w:eastAsia="Arial Unicode MS"/>
        </w:rPr>
        <w:t xml:space="preserve"> на осуществ</w:t>
      </w:r>
      <w:r w:rsidR="00782942" w:rsidRPr="00571A19">
        <w:rPr>
          <w:rFonts w:eastAsia="Arial Unicode MS"/>
        </w:rPr>
        <w:t xml:space="preserve">ление мероприятие по обеспечению  жильем  граждан РФ, проживающих в сельской местности – </w:t>
      </w:r>
      <w:r w:rsidR="00782942" w:rsidRPr="00571A19">
        <w:rPr>
          <w:rFonts w:eastAsia="Arial Unicode MS"/>
        </w:rPr>
        <w:lastRenderedPageBreak/>
        <w:t>1124,8 тыс. рублей</w:t>
      </w:r>
      <w:r w:rsidR="00616EEE" w:rsidRPr="00571A19">
        <w:rPr>
          <w:rFonts w:eastAsia="Arial Unicode MS"/>
        </w:rPr>
        <w:t xml:space="preserve">,  субсидия на модернизацию региональных систем общего образования -4500 тыс. рублей, </w:t>
      </w:r>
    </w:p>
    <w:p w:rsidR="00446569" w:rsidRPr="00571A19" w:rsidRDefault="00616EEE" w:rsidP="00B067C3">
      <w:pPr>
        <w:pStyle w:val="aa"/>
        <w:jc w:val="both"/>
        <w:rPr>
          <w:rFonts w:eastAsia="Arial Unicode MS"/>
        </w:rPr>
      </w:pPr>
      <w:r w:rsidRPr="00571A19">
        <w:rPr>
          <w:rFonts w:eastAsia="Arial Unicode MS"/>
        </w:rPr>
        <w:t>субсидия на реализацию долгосрочной программы «Развитие отрасли культуры в Орловской области на 2011-2015 годы» -213 тыс. рублей</w:t>
      </w:r>
      <w:r w:rsidR="00446569" w:rsidRPr="00571A19">
        <w:rPr>
          <w:rFonts w:eastAsia="Arial Unicode MS"/>
        </w:rPr>
        <w:t xml:space="preserve"> </w:t>
      </w:r>
    </w:p>
    <w:p w:rsidR="00446569" w:rsidRPr="00571A19" w:rsidRDefault="00041DEC" w:rsidP="00446569">
      <w:pPr>
        <w:pStyle w:val="aa"/>
        <w:jc w:val="both"/>
        <w:rPr>
          <w:rFonts w:eastAsia="Arial Unicode MS"/>
        </w:rPr>
      </w:pPr>
      <w:r w:rsidRPr="00571A19">
        <w:rPr>
          <w:rFonts w:eastAsia="Arial Unicode MS"/>
          <w:b/>
        </w:rPr>
        <w:t xml:space="preserve">       - </w:t>
      </w:r>
      <w:r w:rsidR="00446569" w:rsidRPr="00571A19">
        <w:rPr>
          <w:rFonts w:eastAsia="Arial Unicode MS"/>
          <w:b/>
        </w:rPr>
        <w:t xml:space="preserve">по иным межбюджетным трансфертам в сумме </w:t>
      </w:r>
      <w:r w:rsidR="007A641E" w:rsidRPr="00571A19">
        <w:rPr>
          <w:rFonts w:eastAsia="Arial Unicode MS"/>
          <w:b/>
        </w:rPr>
        <w:t>1200</w:t>
      </w:r>
      <w:r w:rsidR="00446569" w:rsidRPr="00571A19">
        <w:rPr>
          <w:rFonts w:eastAsia="Arial Unicode MS"/>
          <w:b/>
        </w:rPr>
        <w:t xml:space="preserve"> тыс. рублей</w:t>
      </w:r>
      <w:r w:rsidR="007A641E" w:rsidRPr="00571A19">
        <w:rPr>
          <w:rFonts w:eastAsia="Arial Unicode MS"/>
          <w:b/>
        </w:rPr>
        <w:t xml:space="preserve"> </w:t>
      </w:r>
      <w:r w:rsidR="007A641E" w:rsidRPr="00571A19">
        <w:rPr>
          <w:rFonts w:eastAsia="Arial Unicode MS"/>
        </w:rPr>
        <w:t>на реализацию  мероприятий по закону Орловской области от 26.01.2007 года № 655-ОЗ «О наказах избирателей депутатам Орловской области  Совета народных депутатов».</w:t>
      </w:r>
    </w:p>
    <w:p w:rsidR="00041DEC" w:rsidRPr="00571A19" w:rsidRDefault="00041DEC" w:rsidP="00446569">
      <w:pPr>
        <w:pStyle w:val="aa"/>
        <w:jc w:val="both"/>
        <w:rPr>
          <w:rFonts w:eastAsia="Arial Unicode MS"/>
          <w:b/>
        </w:rPr>
      </w:pPr>
    </w:p>
    <w:p w:rsidR="00953D97" w:rsidRPr="00571A19" w:rsidRDefault="00041DEC" w:rsidP="00446569">
      <w:pPr>
        <w:pStyle w:val="aa"/>
        <w:jc w:val="both"/>
        <w:rPr>
          <w:rStyle w:val="a5"/>
        </w:rPr>
      </w:pPr>
      <w:r w:rsidRPr="00571A19">
        <w:rPr>
          <w:rStyle w:val="a5"/>
        </w:rPr>
        <w:t xml:space="preserve">               </w:t>
      </w:r>
      <w:r w:rsidR="00F51876" w:rsidRPr="00571A19">
        <w:rPr>
          <w:rStyle w:val="a5"/>
        </w:rPr>
        <w:t xml:space="preserve">III. Расходы бюджета </w:t>
      </w:r>
      <w:r w:rsidR="00953D97" w:rsidRPr="00571A19">
        <w:rPr>
          <w:rStyle w:val="a5"/>
        </w:rPr>
        <w:t xml:space="preserve">Троснянского района </w:t>
      </w:r>
      <w:r w:rsidR="00F51876" w:rsidRPr="00571A19">
        <w:rPr>
          <w:rStyle w:val="a5"/>
        </w:rPr>
        <w:t xml:space="preserve"> на 201</w:t>
      </w:r>
      <w:r w:rsidRPr="00571A19">
        <w:rPr>
          <w:rStyle w:val="a5"/>
        </w:rPr>
        <w:t>3</w:t>
      </w:r>
      <w:r w:rsidR="00F51876" w:rsidRPr="00571A19">
        <w:rPr>
          <w:rStyle w:val="a5"/>
        </w:rPr>
        <w:t xml:space="preserve"> год</w:t>
      </w:r>
    </w:p>
    <w:p w:rsidR="00C73D78" w:rsidRPr="00571A19" w:rsidRDefault="00C73D78" w:rsidP="00C73D78">
      <w:pPr>
        <w:pStyle w:val="aa"/>
        <w:jc w:val="center"/>
        <w:rPr>
          <w:rStyle w:val="a5"/>
        </w:rPr>
      </w:pPr>
    </w:p>
    <w:p w:rsidR="008963BB" w:rsidRPr="00571A19" w:rsidRDefault="00540719" w:rsidP="000E67F7">
      <w:pPr>
        <w:pStyle w:val="aa"/>
        <w:jc w:val="both"/>
      </w:pPr>
      <w:r w:rsidRPr="00571A19">
        <w:t xml:space="preserve">                     </w:t>
      </w:r>
      <w:r w:rsidR="00F51876" w:rsidRPr="00571A19">
        <w:t xml:space="preserve">Согласно представленному проекту решения, с учётом вносимых изменений общий объём расходов бюджета </w:t>
      </w:r>
      <w:r w:rsidR="00953D97" w:rsidRPr="00571A19">
        <w:t xml:space="preserve">Троснянского района </w:t>
      </w:r>
      <w:r w:rsidR="00F51876" w:rsidRPr="00571A19">
        <w:t xml:space="preserve"> на 201</w:t>
      </w:r>
      <w:r w:rsidR="00041DEC" w:rsidRPr="00571A19">
        <w:t>3</w:t>
      </w:r>
      <w:r w:rsidR="00F51876" w:rsidRPr="00571A19">
        <w:t xml:space="preserve"> год составит </w:t>
      </w:r>
      <w:r w:rsidR="008963BB" w:rsidRPr="00571A19">
        <w:t>1</w:t>
      </w:r>
      <w:r w:rsidR="007A641E" w:rsidRPr="00571A19">
        <w:t xml:space="preserve">64014,4 </w:t>
      </w:r>
      <w:r w:rsidR="00F51876" w:rsidRPr="00571A19">
        <w:rPr>
          <w:rStyle w:val="a5"/>
          <w:b w:val="0"/>
        </w:rPr>
        <w:t>тыс. рублей</w:t>
      </w:r>
      <w:r w:rsidR="00F51876" w:rsidRPr="00571A19">
        <w:rPr>
          <w:b/>
        </w:rPr>
        <w:t>,</w:t>
      </w:r>
      <w:r w:rsidR="00F51876" w:rsidRPr="00571A19">
        <w:t xml:space="preserve"> что больше </w:t>
      </w:r>
      <w:r w:rsidR="00891AA5" w:rsidRPr="00571A19">
        <w:t xml:space="preserve">первоначально утвержденного бюджета </w:t>
      </w:r>
      <w:r w:rsidR="00F51876" w:rsidRPr="00571A19">
        <w:t xml:space="preserve"> в сумме </w:t>
      </w:r>
      <w:r w:rsidR="007A641E" w:rsidRPr="00571A19">
        <w:t>7787,8</w:t>
      </w:r>
      <w:r w:rsidR="00F51876" w:rsidRPr="00571A19">
        <w:t xml:space="preserve"> тыс. рублей</w:t>
      </w:r>
      <w:r w:rsidR="008963BB" w:rsidRPr="00571A19">
        <w:t>.</w:t>
      </w:r>
    </w:p>
    <w:p w:rsidR="00953D97" w:rsidRPr="00571A19" w:rsidRDefault="00F51876" w:rsidP="000E67F7">
      <w:pPr>
        <w:pStyle w:val="aa"/>
        <w:jc w:val="both"/>
      </w:pPr>
      <w:r w:rsidRPr="00571A19">
        <w:t xml:space="preserve"> </w:t>
      </w:r>
    </w:p>
    <w:tbl>
      <w:tblPr>
        <w:tblW w:w="4943" w:type="pct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2"/>
        <w:gridCol w:w="4171"/>
        <w:gridCol w:w="1701"/>
        <w:gridCol w:w="1560"/>
        <w:gridCol w:w="1276"/>
      </w:tblGrid>
      <w:tr w:rsidR="008963BB" w:rsidRPr="00571A19" w:rsidTr="00FF703B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3BB" w:rsidRPr="00571A19" w:rsidRDefault="008963BB" w:rsidP="004A44B1">
            <w:pPr>
              <w:pStyle w:val="aa"/>
            </w:pPr>
            <w:r w:rsidRPr="00571A19">
              <w:br/>
              <w:t xml:space="preserve">Раздел, </w:t>
            </w:r>
            <w:proofErr w:type="spellStart"/>
            <w:proofErr w:type="gramStart"/>
            <w:r w:rsidRPr="00571A19">
              <w:t>подраз-дел</w:t>
            </w:r>
            <w:proofErr w:type="spellEnd"/>
            <w:proofErr w:type="gramEnd"/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63BB" w:rsidRPr="00571A19" w:rsidRDefault="008963BB" w:rsidP="004A44B1">
            <w:pPr>
              <w:pStyle w:val="aa"/>
            </w:pPr>
            <w:r w:rsidRPr="00571A19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63BB" w:rsidRPr="00571A19" w:rsidRDefault="008963BB" w:rsidP="00E00833">
            <w:pPr>
              <w:pStyle w:val="aa"/>
            </w:pPr>
            <w:r w:rsidRPr="00571A19">
              <w:t xml:space="preserve">Решение РСНД от  </w:t>
            </w:r>
            <w:r w:rsidR="00041DEC" w:rsidRPr="00571A19">
              <w:t>18</w:t>
            </w:r>
            <w:r w:rsidRPr="00571A19">
              <w:t>.12.201</w:t>
            </w:r>
            <w:r w:rsidR="00041DEC" w:rsidRPr="00571A19">
              <w:t>2</w:t>
            </w:r>
            <w:r w:rsidRPr="00571A19">
              <w:t xml:space="preserve"> г..№ </w:t>
            </w:r>
            <w:r w:rsidR="00041DEC" w:rsidRPr="00571A19">
              <w:t>175</w:t>
            </w:r>
            <w:proofErr w:type="gramStart"/>
            <w:r w:rsidR="00E00833" w:rsidRPr="00571A19">
              <w:t xml:space="preserve">( </w:t>
            </w:r>
            <w:proofErr w:type="gramEnd"/>
            <w:r w:rsidR="00E00833" w:rsidRPr="00571A19">
              <w:t xml:space="preserve">в ред. </w:t>
            </w:r>
            <w:proofErr w:type="spellStart"/>
            <w:r w:rsidR="00E00833" w:rsidRPr="00571A19">
              <w:t>Реш</w:t>
            </w:r>
            <w:proofErr w:type="spellEnd"/>
            <w:r w:rsidR="00E00833" w:rsidRPr="00571A19">
              <w:t xml:space="preserve">  от 21.03.2013 № 195)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63BB" w:rsidRPr="00571A19" w:rsidRDefault="008963BB" w:rsidP="00E00833">
            <w:pPr>
              <w:pStyle w:val="aa"/>
            </w:pPr>
            <w:r w:rsidRPr="00571A19">
              <w:t xml:space="preserve">Проект решения РСНД от </w:t>
            </w:r>
            <w:r w:rsidR="00E00833" w:rsidRPr="00571A19">
              <w:t>__</w:t>
            </w:r>
            <w:r w:rsidRPr="00571A19">
              <w:t>.0</w:t>
            </w:r>
            <w:r w:rsidR="00E00833" w:rsidRPr="00571A19">
              <w:t>5.</w:t>
            </w:r>
            <w:r w:rsidRPr="00571A19">
              <w:t xml:space="preserve"> 201</w:t>
            </w:r>
            <w:r w:rsidR="00041DEC" w:rsidRPr="00571A19">
              <w:t>3</w:t>
            </w:r>
            <w:r w:rsidRPr="00571A19">
              <w:t>г №___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963BB" w:rsidRPr="00571A19" w:rsidRDefault="008963BB" w:rsidP="004A44B1">
            <w:pPr>
              <w:pStyle w:val="aa"/>
            </w:pPr>
            <w:r w:rsidRPr="00571A19">
              <w:t>Отклонение от первоначального бюджета</w:t>
            </w:r>
          </w:p>
        </w:tc>
      </w:tr>
      <w:tr w:rsidR="008963BB" w:rsidRPr="00571A19" w:rsidTr="00FF703B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3BB" w:rsidRPr="00571A19" w:rsidRDefault="008963BB" w:rsidP="004A44B1">
            <w:pPr>
              <w:pStyle w:val="aa"/>
            </w:pPr>
            <w:r w:rsidRPr="00571A19"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</w:tcPr>
          <w:p w:rsidR="008963BB" w:rsidRPr="00571A19" w:rsidRDefault="008963BB" w:rsidP="004A44B1">
            <w:pPr>
              <w:pStyle w:val="aa"/>
            </w:pPr>
            <w:r w:rsidRPr="00571A1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963BB" w:rsidRPr="00571A19" w:rsidRDefault="008963BB" w:rsidP="004A44B1">
            <w:pPr>
              <w:pStyle w:val="aa"/>
            </w:pPr>
            <w:r w:rsidRPr="00571A19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8963BB" w:rsidRPr="00571A19" w:rsidRDefault="008963BB" w:rsidP="004A44B1">
            <w:pPr>
              <w:pStyle w:val="aa"/>
            </w:pPr>
            <w:r w:rsidRPr="00571A19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963BB" w:rsidRPr="00571A19" w:rsidRDefault="008963BB" w:rsidP="004A44B1">
            <w:pPr>
              <w:pStyle w:val="aa"/>
            </w:pPr>
          </w:p>
        </w:tc>
      </w:tr>
      <w:tr w:rsidR="00E57F08" w:rsidRPr="00571A19" w:rsidTr="00FF703B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08" w:rsidRPr="00571A19" w:rsidRDefault="00E57F08" w:rsidP="004A44B1">
            <w:pPr>
              <w:pStyle w:val="aa"/>
            </w:pPr>
            <w:r w:rsidRPr="00571A19">
              <w:rPr>
                <w:rStyle w:val="a5"/>
                <w:b w:val="0"/>
              </w:rPr>
              <w:t>0100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F08" w:rsidRPr="00571A19" w:rsidRDefault="00E57F08" w:rsidP="004A44B1">
            <w:pPr>
              <w:pStyle w:val="aa"/>
            </w:pPr>
            <w:r w:rsidRPr="00571A19">
              <w:rPr>
                <w:rStyle w:val="a5"/>
                <w:b w:val="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F08" w:rsidRPr="00571A19" w:rsidRDefault="00E57F08" w:rsidP="00800988">
            <w:pPr>
              <w:pStyle w:val="aa"/>
            </w:pPr>
            <w:r w:rsidRPr="00571A19">
              <w:t>15962,7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08" w:rsidRPr="00571A19" w:rsidRDefault="00E57F08" w:rsidP="00041DEC">
            <w:pPr>
              <w:pStyle w:val="aa"/>
            </w:pPr>
            <w:r w:rsidRPr="00571A19">
              <w:t>15860,7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08" w:rsidRPr="00571A19" w:rsidRDefault="00E57F08" w:rsidP="004A44B1">
            <w:pPr>
              <w:pStyle w:val="aa"/>
            </w:pPr>
            <w:r w:rsidRPr="00571A19">
              <w:t>-102</w:t>
            </w:r>
          </w:p>
        </w:tc>
      </w:tr>
      <w:tr w:rsidR="00E57F08" w:rsidRPr="00571A19" w:rsidTr="00FF703B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F08" w:rsidRPr="00571A19" w:rsidRDefault="00E57F08" w:rsidP="00041DEC">
            <w:pPr>
              <w:pStyle w:val="aa"/>
            </w:pPr>
            <w:r w:rsidRPr="00571A19">
              <w:t>0200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7F08" w:rsidRPr="00571A19" w:rsidRDefault="00E57F08" w:rsidP="004A44B1">
            <w:pPr>
              <w:pStyle w:val="aa"/>
              <w:rPr>
                <w:bCs/>
              </w:rPr>
            </w:pPr>
            <w:r w:rsidRPr="00571A19">
              <w:rPr>
                <w:bCs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7F08" w:rsidRPr="00571A19" w:rsidRDefault="00E57F08" w:rsidP="00800988">
            <w:pPr>
              <w:pStyle w:val="aa"/>
            </w:pPr>
            <w:r w:rsidRPr="00571A19">
              <w:t>494,3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F08" w:rsidRPr="00571A19" w:rsidRDefault="00E57F08" w:rsidP="004A44B1">
            <w:pPr>
              <w:pStyle w:val="aa"/>
            </w:pPr>
            <w:r w:rsidRPr="00571A19">
              <w:t>494,3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08" w:rsidRPr="00571A19" w:rsidRDefault="00E57F08" w:rsidP="004A44B1">
            <w:pPr>
              <w:pStyle w:val="aa"/>
            </w:pPr>
          </w:p>
        </w:tc>
      </w:tr>
      <w:tr w:rsidR="00E57F08" w:rsidRPr="00571A19" w:rsidTr="00FF703B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F08" w:rsidRPr="00571A19" w:rsidRDefault="00E57F08" w:rsidP="004A44B1">
            <w:pPr>
              <w:pStyle w:val="aa"/>
              <w:rPr>
                <w:lang w:val="en-US"/>
              </w:rPr>
            </w:pPr>
            <w:r w:rsidRPr="00571A19">
              <w:rPr>
                <w:lang w:val="en-US"/>
              </w:rPr>
              <w:t>0400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7F08" w:rsidRPr="00571A19" w:rsidRDefault="00E57F08" w:rsidP="004A44B1">
            <w:pPr>
              <w:pStyle w:val="aa"/>
            </w:pPr>
            <w:r w:rsidRPr="00571A19">
              <w:rPr>
                <w:bCs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7F08" w:rsidRPr="00571A19" w:rsidRDefault="00E57F08" w:rsidP="00800988">
            <w:pPr>
              <w:pStyle w:val="aa"/>
            </w:pPr>
            <w:r w:rsidRPr="00571A19">
              <w:t>5703,4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F08" w:rsidRPr="00571A19" w:rsidRDefault="00854B4A" w:rsidP="008963BB">
            <w:pPr>
              <w:pStyle w:val="aa"/>
            </w:pPr>
            <w:r w:rsidRPr="00571A19">
              <w:t>5703,4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08" w:rsidRPr="00571A19" w:rsidRDefault="00E57F08" w:rsidP="004A44B1">
            <w:pPr>
              <w:pStyle w:val="aa"/>
            </w:pPr>
          </w:p>
        </w:tc>
      </w:tr>
      <w:tr w:rsidR="00E57F08" w:rsidRPr="00571A19" w:rsidTr="00FF703B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F08" w:rsidRPr="00571A19" w:rsidRDefault="00E57F08" w:rsidP="004A44B1">
            <w:pPr>
              <w:pStyle w:val="aa"/>
            </w:pPr>
            <w:r w:rsidRPr="00571A19">
              <w:t>0500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7F08" w:rsidRPr="00571A19" w:rsidRDefault="00E57F08" w:rsidP="004A44B1">
            <w:pPr>
              <w:pStyle w:val="aa"/>
              <w:rPr>
                <w:bCs/>
              </w:rPr>
            </w:pPr>
            <w:r w:rsidRPr="00571A19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7F08" w:rsidRPr="00571A19" w:rsidRDefault="00E57F08" w:rsidP="00800988">
            <w:pPr>
              <w:pStyle w:val="aa"/>
            </w:pPr>
            <w:r w:rsidRPr="00571A19">
              <w:t>122,1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F08" w:rsidRPr="00571A19" w:rsidRDefault="00854B4A" w:rsidP="008963BB">
            <w:pPr>
              <w:pStyle w:val="aa"/>
            </w:pPr>
            <w:r w:rsidRPr="00571A19">
              <w:t>690,1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08" w:rsidRPr="00571A19" w:rsidRDefault="00854B4A" w:rsidP="004A44B1">
            <w:pPr>
              <w:pStyle w:val="aa"/>
            </w:pPr>
            <w:r w:rsidRPr="00571A19">
              <w:t>+568</w:t>
            </w:r>
          </w:p>
        </w:tc>
      </w:tr>
      <w:tr w:rsidR="00E57F08" w:rsidRPr="00571A19" w:rsidTr="00FF703B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F08" w:rsidRPr="00571A19" w:rsidRDefault="00E57F08" w:rsidP="004A44B1">
            <w:pPr>
              <w:pStyle w:val="aa"/>
              <w:rPr>
                <w:lang w:val="en-US"/>
              </w:rPr>
            </w:pPr>
            <w:r w:rsidRPr="00571A19">
              <w:rPr>
                <w:lang w:val="en-US"/>
              </w:rPr>
              <w:t>0700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7F08" w:rsidRPr="00571A19" w:rsidRDefault="00E57F08" w:rsidP="004A44B1">
            <w:pPr>
              <w:pStyle w:val="aa"/>
            </w:pPr>
            <w:r w:rsidRPr="00571A19">
              <w:rPr>
                <w:bCs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7F08" w:rsidRPr="00571A19" w:rsidRDefault="00E57F08" w:rsidP="00800988">
            <w:pPr>
              <w:pStyle w:val="aa"/>
            </w:pPr>
            <w:r w:rsidRPr="00571A19">
              <w:t>106327,8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F08" w:rsidRPr="00571A19" w:rsidRDefault="00854B4A" w:rsidP="008963BB">
            <w:pPr>
              <w:pStyle w:val="aa"/>
            </w:pPr>
            <w:r w:rsidRPr="00571A19">
              <w:t>112607,8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08" w:rsidRPr="00571A19" w:rsidRDefault="00854B4A" w:rsidP="004A44B1">
            <w:pPr>
              <w:pStyle w:val="aa"/>
            </w:pPr>
            <w:r w:rsidRPr="00571A19">
              <w:t>+6280</w:t>
            </w:r>
          </w:p>
        </w:tc>
      </w:tr>
      <w:tr w:rsidR="00E57F08" w:rsidRPr="00571A19" w:rsidTr="00FF703B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08" w:rsidRPr="00571A19" w:rsidRDefault="00E57F08" w:rsidP="004A44B1">
            <w:pPr>
              <w:pStyle w:val="aa"/>
            </w:pPr>
            <w:r w:rsidRPr="00571A19">
              <w:t>0800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F08" w:rsidRPr="00571A19" w:rsidRDefault="00E57F08" w:rsidP="004A44B1">
            <w:pPr>
              <w:pStyle w:val="aa"/>
              <w:rPr>
                <w:bCs/>
              </w:rPr>
            </w:pPr>
            <w:r w:rsidRPr="00571A19">
              <w:rPr>
                <w:bCs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F08" w:rsidRPr="00571A19" w:rsidRDefault="00E57F08" w:rsidP="00800988">
            <w:pPr>
              <w:pStyle w:val="aa"/>
            </w:pPr>
            <w:r w:rsidRPr="00571A19">
              <w:t>4907,9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08" w:rsidRPr="00571A19" w:rsidRDefault="00854B4A" w:rsidP="004A44B1">
            <w:pPr>
              <w:pStyle w:val="aa"/>
            </w:pPr>
            <w:r w:rsidRPr="00571A19">
              <w:t>5120,9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08" w:rsidRPr="00571A19" w:rsidRDefault="00854B4A" w:rsidP="004A44B1">
            <w:pPr>
              <w:pStyle w:val="aa"/>
            </w:pPr>
            <w:r w:rsidRPr="00571A19">
              <w:t>+213</w:t>
            </w:r>
          </w:p>
        </w:tc>
      </w:tr>
      <w:tr w:rsidR="00E57F08" w:rsidRPr="00571A19" w:rsidTr="00FF703B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08" w:rsidRPr="00571A19" w:rsidRDefault="00E57F08" w:rsidP="004A44B1">
            <w:pPr>
              <w:pStyle w:val="aa"/>
              <w:rPr>
                <w:lang w:val="en-US"/>
              </w:rPr>
            </w:pPr>
            <w:r w:rsidRPr="00571A19">
              <w:rPr>
                <w:lang w:val="en-US"/>
              </w:rPr>
              <w:t>1000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F08" w:rsidRPr="00571A19" w:rsidRDefault="00E57F08" w:rsidP="004A44B1">
            <w:pPr>
              <w:pStyle w:val="aa"/>
            </w:pPr>
            <w:r w:rsidRPr="00571A19">
              <w:rPr>
                <w:bCs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F08" w:rsidRPr="00571A19" w:rsidRDefault="00E57F08" w:rsidP="00800988">
            <w:pPr>
              <w:pStyle w:val="aa"/>
            </w:pPr>
            <w:r w:rsidRPr="00571A19">
              <w:t>15315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08" w:rsidRPr="00571A19" w:rsidRDefault="00854B4A" w:rsidP="008963BB">
            <w:pPr>
              <w:pStyle w:val="aa"/>
            </w:pPr>
            <w:r w:rsidRPr="00571A19">
              <w:t>16071,8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08" w:rsidRPr="00571A19" w:rsidRDefault="00854B4A" w:rsidP="008963BB">
            <w:pPr>
              <w:pStyle w:val="aa"/>
            </w:pPr>
            <w:r w:rsidRPr="00571A19">
              <w:t>+756,8</w:t>
            </w:r>
          </w:p>
        </w:tc>
      </w:tr>
      <w:tr w:rsidR="00E57F08" w:rsidRPr="00571A19" w:rsidTr="00FF703B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08" w:rsidRPr="00571A19" w:rsidRDefault="00E57F08" w:rsidP="004A44B1">
            <w:pPr>
              <w:pStyle w:val="aa"/>
            </w:pPr>
            <w:r w:rsidRPr="00571A19">
              <w:t>1100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F08" w:rsidRPr="00571A19" w:rsidRDefault="00E57F08" w:rsidP="004A44B1">
            <w:pPr>
              <w:pStyle w:val="aa"/>
              <w:rPr>
                <w:bCs/>
              </w:rPr>
            </w:pPr>
            <w:r w:rsidRPr="00571A19">
              <w:rPr>
                <w:bCs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08" w:rsidRPr="00571A19" w:rsidRDefault="00E57F08" w:rsidP="00800988">
            <w:pPr>
              <w:pStyle w:val="aa"/>
            </w:pPr>
            <w:r w:rsidRPr="00571A19"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08" w:rsidRPr="00571A19" w:rsidRDefault="00854B4A" w:rsidP="004A44B1">
            <w:pPr>
              <w:pStyle w:val="aa"/>
            </w:pPr>
            <w:r w:rsidRPr="00571A19">
              <w:t>150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7F08" w:rsidRPr="00571A19" w:rsidRDefault="00E57F08" w:rsidP="004A44B1">
            <w:pPr>
              <w:pStyle w:val="aa"/>
            </w:pPr>
          </w:p>
        </w:tc>
      </w:tr>
      <w:tr w:rsidR="00E57F08" w:rsidRPr="00571A19" w:rsidTr="00FF703B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08" w:rsidRPr="00571A19" w:rsidRDefault="00E57F08" w:rsidP="004A44B1">
            <w:pPr>
              <w:pStyle w:val="aa"/>
            </w:pPr>
            <w:r w:rsidRPr="00571A19">
              <w:t>1400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F08" w:rsidRPr="00571A19" w:rsidRDefault="00E57F08" w:rsidP="004A44B1">
            <w:pPr>
              <w:pStyle w:val="aa"/>
            </w:pPr>
            <w:r w:rsidRPr="00571A19">
              <w:rPr>
                <w:bCs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08" w:rsidRPr="00571A19" w:rsidRDefault="00E57F08" w:rsidP="00800988">
            <w:pPr>
              <w:pStyle w:val="aa"/>
            </w:pPr>
            <w:r w:rsidRPr="00571A19">
              <w:t>7143,4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08" w:rsidRPr="00571A19" w:rsidRDefault="00854B4A" w:rsidP="008963BB">
            <w:pPr>
              <w:pStyle w:val="aa"/>
            </w:pPr>
            <w:r w:rsidRPr="00571A19">
              <w:t>7315,4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7F08" w:rsidRPr="00571A19" w:rsidRDefault="00854B4A" w:rsidP="004A44B1">
            <w:pPr>
              <w:pStyle w:val="aa"/>
            </w:pPr>
            <w:r w:rsidRPr="00571A19">
              <w:t>+72</w:t>
            </w:r>
          </w:p>
        </w:tc>
      </w:tr>
      <w:tr w:rsidR="00E57F08" w:rsidRPr="00571A19" w:rsidTr="00FF703B">
        <w:trPr>
          <w:tblCellSpacing w:w="0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08" w:rsidRPr="00571A19" w:rsidRDefault="00E57F08" w:rsidP="004A44B1">
            <w:pPr>
              <w:pStyle w:val="aa"/>
            </w:pPr>
          </w:p>
        </w:tc>
        <w:tc>
          <w:tcPr>
            <w:tcW w:w="4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F08" w:rsidRPr="00571A19" w:rsidRDefault="00E57F08" w:rsidP="004A44B1">
            <w:pPr>
              <w:pStyle w:val="aa"/>
              <w:rPr>
                <w:bCs/>
              </w:rPr>
            </w:pPr>
            <w:r w:rsidRPr="00571A19">
              <w:rPr>
                <w:bCs/>
              </w:rPr>
              <w:t>Итого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08" w:rsidRPr="00571A19" w:rsidRDefault="00E57F08" w:rsidP="00800988">
            <w:pPr>
              <w:pStyle w:val="aa"/>
            </w:pPr>
            <w:r w:rsidRPr="00571A19">
              <w:t>156226,6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4A" w:rsidRPr="00571A19" w:rsidRDefault="00854B4A" w:rsidP="00FF703B">
            <w:pPr>
              <w:pStyle w:val="aa"/>
            </w:pPr>
            <w:r w:rsidRPr="00571A19">
              <w:t>164014,</w:t>
            </w:r>
            <w:r w:rsidR="00FF703B" w:rsidRPr="00571A19"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7F08" w:rsidRPr="00571A19" w:rsidRDefault="00854B4A" w:rsidP="00041DEC">
            <w:pPr>
              <w:pStyle w:val="aa"/>
            </w:pPr>
            <w:r w:rsidRPr="00571A19">
              <w:t>+7787,8</w:t>
            </w:r>
          </w:p>
        </w:tc>
      </w:tr>
    </w:tbl>
    <w:p w:rsidR="008963BB" w:rsidRPr="00571A19" w:rsidRDefault="00FB06DB" w:rsidP="008963BB">
      <w:pPr>
        <w:pStyle w:val="aa"/>
        <w:jc w:val="both"/>
        <w:rPr>
          <w:rFonts w:eastAsia="Arial Unicode MS"/>
        </w:rPr>
      </w:pPr>
      <w:r w:rsidRPr="00571A19">
        <w:t xml:space="preserve">              </w:t>
      </w:r>
      <w:proofErr w:type="gramStart"/>
      <w:r w:rsidR="008963BB" w:rsidRPr="00571A19">
        <w:rPr>
          <w:rFonts w:eastAsia="Arial Unicode MS"/>
        </w:rPr>
        <w:t xml:space="preserve">Расходная часть бюджета увеличена </w:t>
      </w:r>
      <w:r w:rsidR="00041DEC" w:rsidRPr="00571A19">
        <w:rPr>
          <w:rFonts w:eastAsia="Arial Unicode MS"/>
        </w:rPr>
        <w:t xml:space="preserve">по разделу </w:t>
      </w:r>
      <w:r w:rsidR="0007438A" w:rsidRPr="00571A19">
        <w:rPr>
          <w:rFonts w:eastAsia="Arial Unicode MS"/>
        </w:rPr>
        <w:t xml:space="preserve">«Жилищно-коммунальное хозяйство» на </w:t>
      </w:r>
      <w:r w:rsidR="00E00833" w:rsidRPr="00571A19">
        <w:rPr>
          <w:rFonts w:eastAsia="Arial Unicode MS"/>
        </w:rPr>
        <w:t>568</w:t>
      </w:r>
      <w:r w:rsidR="0007438A" w:rsidRPr="00571A19">
        <w:rPr>
          <w:rFonts w:eastAsia="Arial Unicode MS"/>
        </w:rPr>
        <w:t xml:space="preserve"> тыс. рублей,</w:t>
      </w:r>
      <w:r w:rsidR="008963BB" w:rsidRPr="00571A19">
        <w:rPr>
          <w:rFonts w:eastAsia="Arial Unicode MS"/>
        </w:rPr>
        <w:t xml:space="preserve">  по разделу </w:t>
      </w:r>
      <w:r w:rsidR="00264BCD" w:rsidRPr="00571A19">
        <w:rPr>
          <w:rFonts w:eastAsia="Arial Unicode MS"/>
        </w:rPr>
        <w:t>0700</w:t>
      </w:r>
      <w:r w:rsidR="00FF703B" w:rsidRPr="00571A19">
        <w:rPr>
          <w:rFonts w:eastAsia="Arial Unicode MS"/>
        </w:rPr>
        <w:t xml:space="preserve"> </w:t>
      </w:r>
      <w:r w:rsidR="008963BB" w:rsidRPr="00571A19">
        <w:rPr>
          <w:rFonts w:eastAsia="Arial Unicode MS"/>
        </w:rPr>
        <w:t xml:space="preserve">«Образование» на </w:t>
      </w:r>
      <w:r w:rsidR="00E00833" w:rsidRPr="00571A19">
        <w:rPr>
          <w:rFonts w:eastAsia="Arial Unicode MS"/>
        </w:rPr>
        <w:t>6280</w:t>
      </w:r>
      <w:r w:rsidR="008963BB" w:rsidRPr="00571A19">
        <w:rPr>
          <w:rFonts w:eastAsia="Arial Unicode MS"/>
        </w:rPr>
        <w:t xml:space="preserve"> тыс. рублей, </w:t>
      </w:r>
      <w:r w:rsidR="00E00833" w:rsidRPr="00571A19">
        <w:rPr>
          <w:rFonts w:eastAsia="Arial Unicode MS"/>
        </w:rPr>
        <w:t xml:space="preserve">по разделу «Культура» на 213 тыс. рублей, </w:t>
      </w:r>
      <w:r w:rsidR="008963BB" w:rsidRPr="00571A19">
        <w:rPr>
          <w:rFonts w:eastAsia="Arial Unicode MS"/>
        </w:rPr>
        <w:t>по разделу</w:t>
      </w:r>
      <w:r w:rsidR="00264BCD" w:rsidRPr="00571A19">
        <w:rPr>
          <w:rFonts w:eastAsia="Arial Unicode MS"/>
        </w:rPr>
        <w:t xml:space="preserve"> 1000</w:t>
      </w:r>
      <w:r w:rsidR="008963BB" w:rsidRPr="00571A19">
        <w:rPr>
          <w:rFonts w:eastAsia="Arial Unicode MS"/>
        </w:rPr>
        <w:t xml:space="preserve"> «Социальная политика» - на </w:t>
      </w:r>
      <w:r w:rsidR="00E00833" w:rsidRPr="00571A19">
        <w:rPr>
          <w:rFonts w:eastAsia="Arial Unicode MS"/>
        </w:rPr>
        <w:t>756,8</w:t>
      </w:r>
      <w:r w:rsidR="008963BB" w:rsidRPr="00571A19">
        <w:rPr>
          <w:rFonts w:eastAsia="Arial Unicode MS"/>
        </w:rPr>
        <w:t xml:space="preserve"> тыс. рублей</w:t>
      </w:r>
      <w:r w:rsidR="0007438A" w:rsidRPr="00571A19">
        <w:rPr>
          <w:rFonts w:eastAsia="Arial Unicode MS"/>
        </w:rPr>
        <w:t>, по разделу 1400 «</w:t>
      </w:r>
      <w:r w:rsidR="0007438A" w:rsidRPr="00571A19">
        <w:rPr>
          <w:bCs/>
        </w:rPr>
        <w:t xml:space="preserve">Межбюджетные трансферты общего характера бюджетам субъектов Российской Федерации и муниципальных образований» на </w:t>
      </w:r>
      <w:r w:rsidR="00E00833" w:rsidRPr="00571A19">
        <w:rPr>
          <w:bCs/>
        </w:rPr>
        <w:t>72</w:t>
      </w:r>
      <w:r w:rsidR="0007438A" w:rsidRPr="00571A19">
        <w:rPr>
          <w:bCs/>
        </w:rPr>
        <w:t xml:space="preserve"> тыс. рублей и сокращена  по разделу 0100 «</w:t>
      </w:r>
      <w:r w:rsidR="0007438A" w:rsidRPr="00571A19">
        <w:rPr>
          <w:rStyle w:val="a5"/>
          <w:b w:val="0"/>
        </w:rPr>
        <w:t>Общегосударственные</w:t>
      </w:r>
      <w:proofErr w:type="gramEnd"/>
      <w:r w:rsidR="0007438A" w:rsidRPr="00571A19">
        <w:rPr>
          <w:rStyle w:val="a5"/>
          <w:b w:val="0"/>
        </w:rPr>
        <w:t xml:space="preserve"> вопросы</w:t>
      </w:r>
      <w:r w:rsidR="0007438A" w:rsidRPr="00571A19">
        <w:rPr>
          <w:bCs/>
        </w:rPr>
        <w:t xml:space="preserve"> » на </w:t>
      </w:r>
      <w:r w:rsidR="00E00833" w:rsidRPr="00571A19">
        <w:rPr>
          <w:bCs/>
        </w:rPr>
        <w:t>102</w:t>
      </w:r>
      <w:r w:rsidR="0007438A" w:rsidRPr="00571A19">
        <w:rPr>
          <w:bCs/>
        </w:rPr>
        <w:t xml:space="preserve"> тыс. рублей</w:t>
      </w:r>
      <w:proofErr w:type="gramStart"/>
      <w:r w:rsidR="0007438A" w:rsidRPr="00571A19">
        <w:rPr>
          <w:rFonts w:eastAsia="Arial Unicode MS"/>
        </w:rPr>
        <w:t xml:space="preserve"> .</w:t>
      </w:r>
      <w:proofErr w:type="gramEnd"/>
      <w:r w:rsidR="008963BB" w:rsidRPr="00571A19">
        <w:rPr>
          <w:rFonts w:eastAsia="Arial Unicode MS"/>
        </w:rPr>
        <w:t xml:space="preserve"> </w:t>
      </w:r>
    </w:p>
    <w:p w:rsidR="00075F35" w:rsidRPr="00571A19" w:rsidRDefault="00EE7713" w:rsidP="008963BB">
      <w:pPr>
        <w:pStyle w:val="aa"/>
        <w:jc w:val="both"/>
        <w:rPr>
          <w:bCs/>
        </w:rPr>
      </w:pPr>
      <w:r w:rsidRPr="00571A19">
        <w:rPr>
          <w:rFonts w:eastAsia="Arial Unicode MS"/>
        </w:rPr>
        <w:t xml:space="preserve">    </w:t>
      </w:r>
      <w:proofErr w:type="gramStart"/>
      <w:r w:rsidRPr="00571A19">
        <w:rPr>
          <w:rFonts w:eastAsia="Arial Unicode MS"/>
        </w:rPr>
        <w:t xml:space="preserve">Уменьшение расходов по разделу 0100 «Общегосударственные расходы» на сумму </w:t>
      </w:r>
      <w:r w:rsidR="00E00833" w:rsidRPr="00571A19">
        <w:rPr>
          <w:rFonts w:eastAsia="Arial Unicode MS"/>
        </w:rPr>
        <w:t>102</w:t>
      </w:r>
      <w:r w:rsidRPr="00571A19">
        <w:rPr>
          <w:rFonts w:eastAsia="Arial Unicode MS"/>
        </w:rPr>
        <w:t xml:space="preserve"> тыс. рублей  предлагается за счет уменьшения ассигнований  по подразделу 0113 «Другие общегосударственные расходы»  администрации района </w:t>
      </w:r>
      <w:r w:rsidR="00E00833" w:rsidRPr="00571A19">
        <w:rPr>
          <w:rFonts w:eastAsia="Arial Unicode MS"/>
        </w:rPr>
        <w:t xml:space="preserve"> на выполнение наказов депутатам районного Совета народных депутатов  </w:t>
      </w:r>
      <w:r w:rsidRPr="00571A19">
        <w:rPr>
          <w:rFonts w:eastAsia="Arial Unicode MS"/>
        </w:rPr>
        <w:t xml:space="preserve">и увеличения ассигнований </w:t>
      </w:r>
      <w:r w:rsidR="00E00833" w:rsidRPr="00571A19">
        <w:rPr>
          <w:rFonts w:eastAsia="Arial Unicode MS"/>
        </w:rPr>
        <w:t xml:space="preserve"> на эти</w:t>
      </w:r>
      <w:r w:rsidR="00075F35" w:rsidRPr="00571A19">
        <w:rPr>
          <w:rFonts w:eastAsia="Arial Unicode MS"/>
        </w:rPr>
        <w:t xml:space="preserve"> же</w:t>
      </w:r>
      <w:r w:rsidR="00E00833" w:rsidRPr="00571A19">
        <w:rPr>
          <w:rFonts w:eastAsia="Arial Unicode MS"/>
        </w:rPr>
        <w:t xml:space="preserve"> мероприятия</w:t>
      </w:r>
      <w:r w:rsidR="00075F35" w:rsidRPr="00571A19">
        <w:rPr>
          <w:rFonts w:eastAsia="Arial Unicode MS"/>
        </w:rPr>
        <w:t xml:space="preserve">  </w:t>
      </w:r>
      <w:r w:rsidR="00E00833" w:rsidRPr="00571A19">
        <w:rPr>
          <w:rFonts w:eastAsia="Arial Unicode MS"/>
        </w:rPr>
        <w:t xml:space="preserve"> по разделу 0</w:t>
      </w:r>
      <w:r w:rsidR="00075F35" w:rsidRPr="00571A19">
        <w:rPr>
          <w:rFonts w:eastAsia="Arial Unicode MS"/>
        </w:rPr>
        <w:t>7</w:t>
      </w:r>
      <w:r w:rsidR="00E00833" w:rsidRPr="00571A19">
        <w:rPr>
          <w:rFonts w:eastAsia="Arial Unicode MS"/>
        </w:rPr>
        <w:t>0</w:t>
      </w:r>
      <w:r w:rsidR="00075F35" w:rsidRPr="00571A19">
        <w:rPr>
          <w:rFonts w:eastAsia="Arial Unicode MS"/>
        </w:rPr>
        <w:t>0 «Образование» в сумме 30 тыс. рублей и по разделу 1400 «</w:t>
      </w:r>
      <w:r w:rsidR="00075F35" w:rsidRPr="00571A19">
        <w:rPr>
          <w:bCs/>
        </w:rPr>
        <w:t>Межбюджетные трансферты общего характера бюджетам субъектов Российской</w:t>
      </w:r>
      <w:proofErr w:type="gramEnd"/>
      <w:r w:rsidR="00075F35" w:rsidRPr="00571A19">
        <w:rPr>
          <w:bCs/>
        </w:rPr>
        <w:t xml:space="preserve"> Федерации и муниципальных образований» в сумме 72 тыс. рублей.</w:t>
      </w:r>
    </w:p>
    <w:p w:rsidR="00653C6F" w:rsidRPr="00571A19" w:rsidRDefault="00A0454E" w:rsidP="008963BB">
      <w:pPr>
        <w:pStyle w:val="aa"/>
        <w:jc w:val="both"/>
        <w:rPr>
          <w:rFonts w:eastAsia="Arial Unicode MS"/>
        </w:rPr>
      </w:pPr>
      <w:proofErr w:type="gramStart"/>
      <w:r w:rsidRPr="00571A19">
        <w:rPr>
          <w:rFonts w:eastAsia="Arial Unicode MS"/>
        </w:rPr>
        <w:t>П</w:t>
      </w:r>
      <w:r w:rsidR="00EE7713" w:rsidRPr="00571A19">
        <w:rPr>
          <w:rFonts w:eastAsia="Arial Unicode MS"/>
        </w:rPr>
        <w:t>о  разделу 0</w:t>
      </w:r>
      <w:r w:rsidR="00823D8A">
        <w:rPr>
          <w:rFonts w:eastAsia="Arial Unicode MS"/>
        </w:rPr>
        <w:t>5</w:t>
      </w:r>
      <w:r w:rsidR="00EE7713" w:rsidRPr="00571A19">
        <w:rPr>
          <w:rFonts w:eastAsia="Arial Unicode MS"/>
        </w:rPr>
        <w:t xml:space="preserve">00  «Жилищно-коммунальное хозяйство» по подразделу 0502 «Коммунальное хозяйство» </w:t>
      </w:r>
      <w:r w:rsidR="006879E2" w:rsidRPr="00571A19">
        <w:rPr>
          <w:rFonts w:eastAsia="Arial Unicode MS"/>
        </w:rPr>
        <w:t xml:space="preserve">предлагается увеличить ассигнования </w:t>
      </w:r>
      <w:r w:rsidR="002658A2" w:rsidRPr="00571A19">
        <w:rPr>
          <w:rFonts w:eastAsia="Arial Unicode MS"/>
        </w:rPr>
        <w:t xml:space="preserve">на оплату работ за </w:t>
      </w:r>
      <w:r w:rsidRPr="00571A19">
        <w:rPr>
          <w:rFonts w:eastAsia="Arial Unicode MS"/>
        </w:rPr>
        <w:t xml:space="preserve">проведение экспертизы </w:t>
      </w:r>
      <w:r w:rsidR="002658A2" w:rsidRPr="00571A19">
        <w:rPr>
          <w:rFonts w:eastAsia="Arial Unicode MS"/>
        </w:rPr>
        <w:t xml:space="preserve">  проектно-сметной документации на строительство водо</w:t>
      </w:r>
      <w:r w:rsidRPr="00571A19">
        <w:rPr>
          <w:rFonts w:eastAsia="Arial Unicode MS"/>
        </w:rPr>
        <w:t xml:space="preserve">проводов </w:t>
      </w:r>
      <w:r w:rsidR="006879E2" w:rsidRPr="00571A19">
        <w:rPr>
          <w:rFonts w:eastAsia="Arial Unicode MS"/>
        </w:rPr>
        <w:t>за счет сокращения ассигнований по разделу 1000 «Социальная политика» по подразделу «Социальное обеспечение населения» на реализацию Федеральной целевой программы «Социальное развитие села до 2013 года» в суме 368 тыс. рублей.</w:t>
      </w:r>
      <w:proofErr w:type="gramEnd"/>
    </w:p>
    <w:p w:rsidR="00FF703B" w:rsidRPr="00571A19" w:rsidRDefault="006879E2" w:rsidP="008963BB">
      <w:pPr>
        <w:pStyle w:val="aa"/>
        <w:jc w:val="both"/>
        <w:rPr>
          <w:rFonts w:eastAsia="Arial Unicode MS"/>
        </w:rPr>
      </w:pPr>
      <w:r w:rsidRPr="00571A19">
        <w:rPr>
          <w:rFonts w:eastAsia="Arial Unicode MS"/>
        </w:rPr>
        <w:lastRenderedPageBreak/>
        <w:t>Увел</w:t>
      </w:r>
      <w:r w:rsidR="00FF703B" w:rsidRPr="00571A19">
        <w:rPr>
          <w:rFonts w:eastAsia="Arial Unicode MS"/>
        </w:rPr>
        <w:t>и</w:t>
      </w:r>
      <w:r w:rsidRPr="00571A19">
        <w:rPr>
          <w:rFonts w:eastAsia="Arial Unicode MS"/>
        </w:rPr>
        <w:t>чение расходов</w:t>
      </w:r>
      <w:r w:rsidR="00FF703B" w:rsidRPr="00571A19">
        <w:rPr>
          <w:rFonts w:eastAsia="Arial Unicode MS"/>
        </w:rPr>
        <w:t xml:space="preserve"> по разделу 0700 «Образование» предлагается в сумме 6280 тыс. рублей, в том числе</w:t>
      </w:r>
      <w:proofErr w:type="gramStart"/>
      <w:r w:rsidR="00FF703B" w:rsidRPr="00571A19">
        <w:rPr>
          <w:rFonts w:eastAsia="Arial Unicode MS"/>
        </w:rPr>
        <w:t xml:space="preserve"> :</w:t>
      </w:r>
      <w:proofErr w:type="gramEnd"/>
    </w:p>
    <w:p w:rsidR="009B22D8" w:rsidRPr="00571A19" w:rsidRDefault="00FF703B" w:rsidP="000E67F7">
      <w:pPr>
        <w:pStyle w:val="aa"/>
        <w:jc w:val="both"/>
      </w:pPr>
      <w:r w:rsidRPr="00571A19">
        <w:rPr>
          <w:rFonts w:eastAsia="Arial Unicode MS"/>
        </w:rPr>
        <w:t xml:space="preserve">По разделу 0701 «Дошкольное образование» увеличение расходов в сумме 96 тыс. рублей за счет уменьшения </w:t>
      </w:r>
      <w:r w:rsidR="006C52F3" w:rsidRPr="00571A19">
        <w:t>расходов на</w:t>
      </w:r>
      <w:r w:rsidR="00264BCD" w:rsidRPr="00571A19">
        <w:t xml:space="preserve">  подраздел</w:t>
      </w:r>
      <w:r w:rsidRPr="00571A19">
        <w:t>у</w:t>
      </w:r>
      <w:r w:rsidR="00264BCD" w:rsidRPr="00571A19">
        <w:t xml:space="preserve"> 0702 «Общее образование»</w:t>
      </w:r>
      <w:r w:rsidRPr="00571A19">
        <w:t xml:space="preserve"> в сумме 96 тыс. рублей  из средств</w:t>
      </w:r>
      <w:proofErr w:type="gramStart"/>
      <w:r w:rsidRPr="00571A19">
        <w:t xml:space="preserve"> ,</w:t>
      </w:r>
      <w:proofErr w:type="gramEnd"/>
      <w:r w:rsidRPr="00571A19">
        <w:t xml:space="preserve"> выделенных  району</w:t>
      </w:r>
      <w:r w:rsidR="00B92F66" w:rsidRPr="00571A19">
        <w:t xml:space="preserve"> </w:t>
      </w:r>
      <w:r w:rsidR="003F18A5" w:rsidRPr="00571A19">
        <w:t xml:space="preserve"> в сумме </w:t>
      </w:r>
      <w:r w:rsidR="009B22D8" w:rsidRPr="00571A19">
        <w:t>288</w:t>
      </w:r>
      <w:r w:rsidR="003F18A5" w:rsidRPr="00571A19">
        <w:t xml:space="preserve"> тыс. рублей</w:t>
      </w:r>
      <w:r w:rsidR="00B92F66" w:rsidRPr="00571A19">
        <w:t xml:space="preserve"> в соответствии с распоряжением Правительства Орловской области № 48-р от 13.02.2013 года для проведения работ по оборудованию образовательных учреждений кнопкой тревожной сигнализации с выводом информационного сигнала по  </w:t>
      </w:r>
      <w:r w:rsidR="00B92F66" w:rsidRPr="00571A19">
        <w:rPr>
          <w:lang w:val="en-US"/>
        </w:rPr>
        <w:t>GP</w:t>
      </w:r>
      <w:proofErr w:type="gramStart"/>
      <w:r w:rsidR="00B92F66" w:rsidRPr="00571A19">
        <w:t>М</w:t>
      </w:r>
      <w:proofErr w:type="gramEnd"/>
      <w:r w:rsidR="00B92F66" w:rsidRPr="00571A19">
        <w:t xml:space="preserve"> каналу связи на пункты централизованной охраны. </w:t>
      </w:r>
    </w:p>
    <w:p w:rsidR="00FF703B" w:rsidRPr="00571A19" w:rsidRDefault="00FC5D26" w:rsidP="000E67F7">
      <w:pPr>
        <w:pStyle w:val="aa"/>
        <w:jc w:val="both"/>
      </w:pPr>
      <w:r w:rsidRPr="00571A19">
        <w:t xml:space="preserve">       </w:t>
      </w:r>
      <w:proofErr w:type="gramStart"/>
      <w:r w:rsidR="00FF703B" w:rsidRPr="00571A19">
        <w:t xml:space="preserve">В соответствии с постановлением Правительства Орловской  области  от 4 апреля 2013 года № 114 «О распределении субсидий из областного бюджета бюджетам муниципальных районов в рамках реализации мероприятий комплекса мер по модернизации системы общего образования Орловской области в 2013 году» району выделены из областного бюджета субсидии в рамках мероприятий комплекса мер по модернизации </w:t>
      </w:r>
      <w:r w:rsidRPr="00571A19">
        <w:t xml:space="preserve"> системы общего образования Орловской области в 2013 году на</w:t>
      </w:r>
      <w:proofErr w:type="gramEnd"/>
      <w:r w:rsidRPr="00571A19">
        <w:t xml:space="preserve"> </w:t>
      </w:r>
      <w:proofErr w:type="gramStart"/>
      <w:r w:rsidRPr="00571A19">
        <w:t>текущий ремонт  образовательных учреждений</w:t>
      </w:r>
      <w:r w:rsidR="00FF703B" w:rsidRPr="00571A19">
        <w:t xml:space="preserve"> </w:t>
      </w:r>
      <w:r w:rsidRPr="00571A19">
        <w:t xml:space="preserve">4500 тыс. рублей, а также предусмотрено </w:t>
      </w:r>
      <w:proofErr w:type="spellStart"/>
      <w:r w:rsidRPr="00571A19">
        <w:t>софинансирование</w:t>
      </w:r>
      <w:proofErr w:type="spellEnd"/>
      <w:r w:rsidRPr="00571A19">
        <w:t xml:space="preserve">  за счет средств районного бюджета в сумме 500 тыс. рублей и которые будут направлены на ремонт БОУ «Воронецкая средняя общеобразовательная школа» в сумме 1250 тыс. рублей, БОУ «</w:t>
      </w:r>
      <w:proofErr w:type="spellStart"/>
      <w:r w:rsidRPr="00571A19">
        <w:t>Муравльская</w:t>
      </w:r>
      <w:proofErr w:type="spellEnd"/>
      <w:r w:rsidRPr="00571A19">
        <w:t xml:space="preserve"> средняя общеобразовательная школа» в сумме 1350 тыс. рублей и БОУ «Никольская средняя общеобразовательная школа» в сумме 2450 тыс. рублей.</w:t>
      </w:r>
      <w:proofErr w:type="gramEnd"/>
    </w:p>
    <w:p w:rsidR="00FC5D26" w:rsidRPr="00571A19" w:rsidRDefault="001466CC" w:rsidP="000E67F7">
      <w:pPr>
        <w:pStyle w:val="aa"/>
        <w:jc w:val="both"/>
      </w:pPr>
      <w:r w:rsidRPr="00571A19">
        <w:t>Увеличиваются ассигнования по подразделу 0702 «Общее образование» за счет иных межбюджетных трансфертов</w:t>
      </w:r>
      <w:proofErr w:type="gramStart"/>
      <w:r w:rsidRPr="00571A19">
        <w:t xml:space="preserve"> ,</w:t>
      </w:r>
      <w:proofErr w:type="gramEnd"/>
      <w:r w:rsidRPr="00571A19">
        <w:t xml:space="preserve"> выделенных по Закону Орловской области от 26.01.2007 года № 655 «О наказах избирателей депутатам Орловской области Совета народных депутатов» в сумме 1200 тыс. рублей, том числе : на замену оконных блоков в БОУ «</w:t>
      </w:r>
      <w:proofErr w:type="spellStart"/>
      <w:r w:rsidRPr="00571A19">
        <w:t>Троснянская</w:t>
      </w:r>
      <w:proofErr w:type="spellEnd"/>
      <w:r w:rsidRPr="00571A19">
        <w:t xml:space="preserve"> средняя общеобразовательная школа» в сумме 99 тыс. рублей, на проведение экспертизы проектно-сметной документации по замене электропроводки в «Никольская средняя общеобразовательная школа» в сумме 99 тыс. рублей, на проведение ремонта в БОУ</w:t>
      </w:r>
      <w:proofErr w:type="gramStart"/>
      <w:r w:rsidRPr="00571A19">
        <w:t>«</w:t>
      </w:r>
      <w:proofErr w:type="spellStart"/>
      <w:r w:rsidRPr="00571A19">
        <w:t>Л</w:t>
      </w:r>
      <w:proofErr w:type="gramEnd"/>
      <w:r w:rsidRPr="00571A19">
        <w:t>омовецкая</w:t>
      </w:r>
      <w:proofErr w:type="spellEnd"/>
      <w:r w:rsidRPr="00571A19">
        <w:t xml:space="preserve"> средняя общеобразовательная школа» в сумме 1002 тыс. рублей. .</w:t>
      </w:r>
    </w:p>
    <w:p w:rsidR="00653C6F" w:rsidRPr="00571A19" w:rsidRDefault="006C52F3" w:rsidP="000E67F7">
      <w:pPr>
        <w:pStyle w:val="aa"/>
        <w:jc w:val="both"/>
      </w:pPr>
      <w:r w:rsidRPr="00571A19">
        <w:t xml:space="preserve"> </w:t>
      </w:r>
      <w:r w:rsidR="003F18A5" w:rsidRPr="00571A19">
        <w:t xml:space="preserve">     </w:t>
      </w:r>
      <w:proofErr w:type="gramStart"/>
      <w:r w:rsidR="00BB3788" w:rsidRPr="00571A19">
        <w:t>П</w:t>
      </w:r>
      <w:r w:rsidR="00424D15" w:rsidRPr="00571A19">
        <w:t xml:space="preserve">о разделу </w:t>
      </w:r>
      <w:r w:rsidRPr="00571A19">
        <w:t>10</w:t>
      </w:r>
      <w:r w:rsidR="003F18A5" w:rsidRPr="00571A19">
        <w:t>00</w:t>
      </w:r>
      <w:r w:rsidR="00424D15" w:rsidRPr="00571A19">
        <w:t xml:space="preserve"> </w:t>
      </w:r>
      <w:r w:rsidRPr="00571A19">
        <w:t xml:space="preserve">«Социальная политика» </w:t>
      </w:r>
      <w:r w:rsidR="003F18A5" w:rsidRPr="00571A19">
        <w:t xml:space="preserve">  подразделу 1003 «Социальное обеспечение населения»</w:t>
      </w:r>
      <w:r w:rsidR="00BB3788" w:rsidRPr="00571A19">
        <w:t xml:space="preserve"> </w:t>
      </w:r>
      <w:r w:rsidR="003173DF" w:rsidRPr="00571A19">
        <w:t>увелич</w:t>
      </w:r>
      <w:r w:rsidR="00BB3788" w:rsidRPr="00571A19">
        <w:t xml:space="preserve">иваются ЛБО по Федеральной целевой программе «Социальное развитие села до 2013 года» в сумме 1124,8 тыс. рублей на выделение субсидий  на улучшение жилищных условий граждан, проживающих в сельской местности, в том числе молодых семей и молодых специалистов, из них за счет средств федерального бюджета </w:t>
      </w:r>
      <w:r w:rsidR="0052669E" w:rsidRPr="00571A19">
        <w:t>715,3</w:t>
      </w:r>
      <w:r w:rsidR="00BB3788" w:rsidRPr="00571A19">
        <w:t xml:space="preserve">  тыс. рублей и за счет</w:t>
      </w:r>
      <w:proofErr w:type="gramEnd"/>
      <w:r w:rsidR="00BB3788" w:rsidRPr="00571A19">
        <w:t xml:space="preserve"> областного бюджета  </w:t>
      </w:r>
      <w:r w:rsidR="0052669E" w:rsidRPr="00571A19">
        <w:t>409,476</w:t>
      </w:r>
      <w:r w:rsidR="00BB3788" w:rsidRPr="00571A19">
        <w:t xml:space="preserve"> тыс. рублей.</w:t>
      </w:r>
    </w:p>
    <w:p w:rsidR="00FB07AF" w:rsidRPr="00571A19" w:rsidRDefault="003173DF" w:rsidP="000E67F7">
      <w:pPr>
        <w:pStyle w:val="aa"/>
        <w:jc w:val="both"/>
      </w:pPr>
      <w:r w:rsidRPr="00571A19">
        <w:t xml:space="preserve">      </w:t>
      </w:r>
      <w:r w:rsidR="002008CA" w:rsidRPr="00571A19">
        <w:t xml:space="preserve">       Дефицит бюджета предполагается в сумме </w:t>
      </w:r>
      <w:r w:rsidR="0052669E" w:rsidRPr="00571A19">
        <w:t>886,8</w:t>
      </w:r>
      <w:r w:rsidR="002008CA" w:rsidRPr="00571A19">
        <w:t xml:space="preserve"> тыс. рублей за счет изменения остатков средств на счетах по учету средств бюджета</w:t>
      </w:r>
      <w:proofErr w:type="gramStart"/>
      <w:r w:rsidR="00FB07AF" w:rsidRPr="00571A19">
        <w:t xml:space="preserve"> .</w:t>
      </w:r>
      <w:proofErr w:type="gramEnd"/>
      <w:r w:rsidR="00FB07AF" w:rsidRPr="00571A19">
        <w:t xml:space="preserve">  Остаток средств на счете районного бюджета  на 1 января 2013 года 1008095 рублей 33 копейки.</w:t>
      </w:r>
    </w:p>
    <w:p w:rsidR="00F51876" w:rsidRPr="00571A19" w:rsidRDefault="00FB06DB" w:rsidP="00823D8A">
      <w:pPr>
        <w:pStyle w:val="aa"/>
        <w:jc w:val="both"/>
        <w:rPr>
          <w:rStyle w:val="a5"/>
        </w:rPr>
      </w:pPr>
      <w:r w:rsidRPr="00571A19">
        <w:t xml:space="preserve">            </w:t>
      </w:r>
      <w:bookmarkEnd w:id="4"/>
      <w:bookmarkEnd w:id="5"/>
      <w:bookmarkEnd w:id="6"/>
      <w:bookmarkEnd w:id="7"/>
      <w:bookmarkEnd w:id="8"/>
      <w:bookmarkEnd w:id="9"/>
      <w:bookmarkEnd w:id="10"/>
      <w:r w:rsidR="001C54A0" w:rsidRPr="00571A19">
        <w:rPr>
          <w:rStyle w:val="a5"/>
        </w:rPr>
        <w:t>3.</w:t>
      </w:r>
      <w:r w:rsidR="00F51876" w:rsidRPr="00571A19">
        <w:rPr>
          <w:rStyle w:val="a5"/>
        </w:rPr>
        <w:t>Расходы на реализацию муниципальных долгосрочных целевых программ</w:t>
      </w:r>
    </w:p>
    <w:p w:rsidR="000609C6" w:rsidRPr="00571A19" w:rsidRDefault="00716AAC" w:rsidP="000E67F7">
      <w:pPr>
        <w:pStyle w:val="aa"/>
        <w:jc w:val="both"/>
      </w:pPr>
      <w:r w:rsidRPr="00571A19">
        <w:t xml:space="preserve">       </w:t>
      </w:r>
      <w:r w:rsidR="00B970AD" w:rsidRPr="00571A19">
        <w:t xml:space="preserve">При принятии бюджета на 2013 год в приложении к решению о бюджете по ведомственной подчиненности </w:t>
      </w:r>
      <w:r w:rsidR="00D06565" w:rsidRPr="00571A19">
        <w:t xml:space="preserve"> принят</w:t>
      </w:r>
      <w:r w:rsidR="00B970AD" w:rsidRPr="00571A19">
        <w:t>ым</w:t>
      </w:r>
      <w:r w:rsidR="00196AD5" w:rsidRPr="00571A19">
        <w:t xml:space="preserve">  муниципальны</w:t>
      </w:r>
      <w:r w:rsidR="00B970AD" w:rsidRPr="00571A19">
        <w:t>м</w:t>
      </w:r>
      <w:r w:rsidR="00196AD5" w:rsidRPr="00571A19">
        <w:t xml:space="preserve">  целевы</w:t>
      </w:r>
      <w:r w:rsidR="00B970AD" w:rsidRPr="00571A19">
        <w:t>м</w:t>
      </w:r>
      <w:r w:rsidR="00196AD5" w:rsidRPr="00571A19">
        <w:t xml:space="preserve"> программ</w:t>
      </w:r>
      <w:r w:rsidR="00B970AD" w:rsidRPr="00571A19">
        <w:t>ам</w:t>
      </w:r>
      <w:r w:rsidR="00D06565" w:rsidRPr="00571A19">
        <w:t xml:space="preserve"> присво</w:t>
      </w:r>
      <w:r w:rsidR="00B970AD" w:rsidRPr="00571A19">
        <w:t>ены</w:t>
      </w:r>
      <w:r w:rsidR="00D06565" w:rsidRPr="00571A19">
        <w:t xml:space="preserve"> целевые статьи</w:t>
      </w:r>
      <w:r w:rsidR="00B970AD" w:rsidRPr="00571A19">
        <w:t xml:space="preserve">.  После утверждения бюджета на 2013 год постановлением администрации Троснянского района от 21 декабря 2012 года №407  «О программе «Обеспечение жильем молодых семей в Троснянском районе на 2013-2017 годы» утверждена долгосрочная целевая  районная программа «Обеспечение жильем молодых семей в Троснянском районе на 2013-2017 годы». Данная программа на проведение экспертизы в Контрольно-ревизионную комиссию не направлялась. На реализацию данной программы </w:t>
      </w:r>
      <w:r w:rsidR="00B734D7" w:rsidRPr="00571A19">
        <w:t>за счет средств районного бюджета утверждено</w:t>
      </w:r>
      <w:r w:rsidR="00B970AD" w:rsidRPr="00571A19">
        <w:t xml:space="preserve"> 136,8 тыс. рублей</w:t>
      </w:r>
      <w:r w:rsidR="00B734D7" w:rsidRPr="00571A19">
        <w:t>.</w:t>
      </w:r>
      <w:r w:rsidR="00B970AD" w:rsidRPr="00571A19">
        <w:t xml:space="preserve"> </w:t>
      </w:r>
      <w:r w:rsidR="000609C6" w:rsidRPr="00571A19">
        <w:t xml:space="preserve">  </w:t>
      </w:r>
    </w:p>
    <w:p w:rsidR="000609C6" w:rsidRPr="00571A19" w:rsidRDefault="00E752F8" w:rsidP="000E67F7">
      <w:pPr>
        <w:pStyle w:val="aa"/>
        <w:jc w:val="both"/>
        <w:rPr>
          <w:b/>
        </w:rPr>
      </w:pPr>
      <w:r w:rsidRPr="00571A19">
        <w:rPr>
          <w:b/>
        </w:rPr>
        <w:t xml:space="preserve">                  </w:t>
      </w:r>
      <w:r w:rsidR="00F51876" w:rsidRPr="00571A19">
        <w:rPr>
          <w:b/>
        </w:rPr>
        <w:t xml:space="preserve">На основании </w:t>
      </w:r>
      <w:proofErr w:type="gramStart"/>
      <w:r w:rsidR="00F51876" w:rsidRPr="00571A19">
        <w:rPr>
          <w:b/>
        </w:rPr>
        <w:t>вышеизложенного</w:t>
      </w:r>
      <w:proofErr w:type="gramEnd"/>
      <w:r w:rsidR="00F51876" w:rsidRPr="00571A19">
        <w:rPr>
          <w:b/>
        </w:rPr>
        <w:t>, Контрольно-</w:t>
      </w:r>
      <w:r w:rsidRPr="00571A19">
        <w:rPr>
          <w:b/>
        </w:rPr>
        <w:t>ревизионная комиссия</w:t>
      </w:r>
      <w:r w:rsidR="00F51876" w:rsidRPr="00571A19">
        <w:rPr>
          <w:b/>
        </w:rPr>
        <w:t xml:space="preserve"> предлагает</w:t>
      </w:r>
      <w:r w:rsidR="000609C6" w:rsidRPr="00571A19">
        <w:rPr>
          <w:b/>
        </w:rPr>
        <w:t>:</w:t>
      </w:r>
    </w:p>
    <w:p w:rsidR="00823D8A" w:rsidRDefault="00E36396" w:rsidP="000E67F7">
      <w:pPr>
        <w:pStyle w:val="aa"/>
        <w:jc w:val="both"/>
      </w:pPr>
      <w:r w:rsidRPr="00571A19">
        <w:t xml:space="preserve">            </w:t>
      </w:r>
      <w:r w:rsidR="00C73D78" w:rsidRPr="00571A19">
        <w:t>1</w:t>
      </w:r>
      <w:r w:rsidR="000609C6" w:rsidRPr="00571A19">
        <w:t>.</w:t>
      </w:r>
      <w:r w:rsidRPr="00571A19">
        <w:t xml:space="preserve">    А</w:t>
      </w:r>
      <w:r w:rsidR="000609C6" w:rsidRPr="00571A19">
        <w:t xml:space="preserve">дминистрации Троснянского района </w:t>
      </w:r>
      <w:r w:rsidR="00305E90" w:rsidRPr="00571A19">
        <w:t>одновременно с проектом решения предоставлять</w:t>
      </w:r>
      <w:r w:rsidR="00B734D7" w:rsidRPr="00571A19">
        <w:t xml:space="preserve"> пояснительную записку, </w:t>
      </w:r>
      <w:r w:rsidR="00305E90" w:rsidRPr="00571A19">
        <w:t>сведения об исполнении бюджета района за истекший отчетный период текущего финансового года, оценку ожидаемого исполнения бюджета Троснянского района в текущем финансовом году</w:t>
      </w:r>
      <w:r w:rsidR="00FB07AF" w:rsidRPr="00571A19">
        <w:t>.</w:t>
      </w:r>
      <w:r w:rsidR="000609C6" w:rsidRPr="00571A19">
        <w:t>  </w:t>
      </w:r>
    </w:p>
    <w:p w:rsidR="00C4383C" w:rsidRPr="00571A19" w:rsidRDefault="00E36396" w:rsidP="00C4383C">
      <w:pPr>
        <w:pStyle w:val="aa"/>
        <w:jc w:val="both"/>
      </w:pPr>
      <w:r w:rsidRPr="00571A19">
        <w:lastRenderedPageBreak/>
        <w:t xml:space="preserve">         </w:t>
      </w:r>
      <w:r w:rsidR="00545C0E" w:rsidRPr="00571A19">
        <w:t>2</w:t>
      </w:r>
      <w:r w:rsidR="00C4383C" w:rsidRPr="00571A19">
        <w:t xml:space="preserve">.  На основании проведенной экспертизы  проекта решения Троснянского районного Совета народных депутатов Контрольно-ревизионная комиссия  пришла к выводу о возможности принятия решения </w:t>
      </w:r>
      <w:proofErr w:type="spellStart"/>
      <w:r w:rsidR="00C4383C" w:rsidRPr="00571A19">
        <w:t>Троснянским</w:t>
      </w:r>
      <w:proofErr w:type="spellEnd"/>
      <w:r w:rsidR="00C4383C" w:rsidRPr="00571A19">
        <w:t xml:space="preserve"> районным Советом народных депутатов «О внесении изменений в решение Троснянского районного Совета народных депутатов</w:t>
      </w:r>
      <w:r w:rsidR="00545C0E" w:rsidRPr="00571A19">
        <w:t xml:space="preserve"> от 18 декабря 2012 года № 175</w:t>
      </w:r>
      <w:r w:rsidR="00C4383C" w:rsidRPr="00571A19">
        <w:t xml:space="preserve">  «О бюджете муниципального района на 201</w:t>
      </w:r>
      <w:r w:rsidR="00545C0E" w:rsidRPr="00571A19">
        <w:t>3</w:t>
      </w:r>
      <w:r w:rsidR="00C4383C" w:rsidRPr="00571A19">
        <w:t xml:space="preserve"> год и на плановый период 201</w:t>
      </w:r>
      <w:r w:rsidR="00545C0E" w:rsidRPr="00571A19">
        <w:t>4</w:t>
      </w:r>
      <w:r w:rsidR="00C4383C" w:rsidRPr="00571A19">
        <w:t>-201</w:t>
      </w:r>
      <w:r w:rsidR="00545C0E" w:rsidRPr="00571A19">
        <w:t>5</w:t>
      </w:r>
      <w:r w:rsidR="00C4383C" w:rsidRPr="00571A19">
        <w:t xml:space="preserve"> годов»</w:t>
      </w:r>
      <w:r w:rsidR="00B734D7" w:rsidRPr="00571A19">
        <w:t xml:space="preserve"> </w:t>
      </w:r>
      <w:proofErr w:type="gramStart"/>
      <w:r w:rsidR="00B734D7" w:rsidRPr="00571A19">
        <w:t xml:space="preserve">( </w:t>
      </w:r>
      <w:proofErr w:type="gramEnd"/>
      <w:r w:rsidR="00B734D7" w:rsidRPr="00571A19">
        <w:t>в редакции решения от 21</w:t>
      </w:r>
      <w:r w:rsidR="00C4383C" w:rsidRPr="00571A19">
        <w:t>.</w:t>
      </w:r>
      <w:r w:rsidR="00B734D7" w:rsidRPr="00571A19">
        <w:t>03.2013 года № 195)</w:t>
      </w:r>
    </w:p>
    <w:p w:rsidR="00E36396" w:rsidRPr="00571A19" w:rsidRDefault="00C4383C" w:rsidP="000E67F7">
      <w:pPr>
        <w:pStyle w:val="aa"/>
        <w:jc w:val="both"/>
      </w:pPr>
      <w:r w:rsidRPr="00571A19">
        <w:t xml:space="preserve">            </w:t>
      </w:r>
      <w:r w:rsidR="00E36396" w:rsidRPr="00571A19">
        <w:t xml:space="preserve"> Контрольно-ревизионная комиссия Троснянского района  просит Троснянский районный  Совет народных депутатов передавать материалы о внесении изменений в бюджет муниципального района для подготовки </w:t>
      </w:r>
      <w:proofErr w:type="gramStart"/>
      <w:r w:rsidR="00E36396" w:rsidRPr="00571A19">
        <w:t>заключения</w:t>
      </w:r>
      <w:proofErr w:type="gramEnd"/>
      <w:r w:rsidR="00E36396" w:rsidRPr="00571A19">
        <w:t xml:space="preserve"> в   сроки установленные  пунктом 92 Положения о бюджетном процессе в Троснянском районе.</w:t>
      </w:r>
    </w:p>
    <w:p w:rsidR="000E67F7" w:rsidRPr="00571A19" w:rsidRDefault="000E67F7" w:rsidP="000E67F7">
      <w:pPr>
        <w:pStyle w:val="aa"/>
        <w:jc w:val="both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7071"/>
        <w:gridCol w:w="2680"/>
      </w:tblGrid>
      <w:tr w:rsidR="000609C6" w:rsidRPr="00571A19">
        <w:trPr>
          <w:tblCellSpacing w:w="0" w:type="dxa"/>
        </w:trPr>
        <w:tc>
          <w:tcPr>
            <w:tcW w:w="0" w:type="auto"/>
            <w:vAlign w:val="center"/>
          </w:tcPr>
          <w:p w:rsidR="000609C6" w:rsidRPr="00571A19" w:rsidRDefault="00B01CA0" w:rsidP="000E67F7">
            <w:pPr>
              <w:pStyle w:val="aa"/>
              <w:jc w:val="both"/>
              <w:rPr>
                <w:rStyle w:val="a5"/>
                <w:b w:val="0"/>
              </w:rPr>
            </w:pPr>
            <w:r w:rsidRPr="00571A19">
              <w:rPr>
                <w:rStyle w:val="a5"/>
                <w:b w:val="0"/>
              </w:rPr>
              <w:t>П</w:t>
            </w:r>
            <w:r w:rsidR="000609C6" w:rsidRPr="00571A19">
              <w:rPr>
                <w:rStyle w:val="a5"/>
                <w:b w:val="0"/>
              </w:rPr>
              <w:t xml:space="preserve">редседатель </w:t>
            </w:r>
            <w:proofErr w:type="gramStart"/>
            <w:r w:rsidR="000609C6" w:rsidRPr="00571A19">
              <w:rPr>
                <w:rStyle w:val="a5"/>
                <w:b w:val="0"/>
              </w:rPr>
              <w:t>Контрольно-ревизионной</w:t>
            </w:r>
            <w:proofErr w:type="gramEnd"/>
          </w:p>
          <w:p w:rsidR="00F51876" w:rsidRPr="00571A19" w:rsidRDefault="000609C6" w:rsidP="000E67F7">
            <w:pPr>
              <w:pStyle w:val="aa"/>
              <w:jc w:val="both"/>
            </w:pPr>
            <w:r w:rsidRPr="00571A19">
              <w:rPr>
                <w:rStyle w:val="a5"/>
                <w:b w:val="0"/>
              </w:rPr>
              <w:t xml:space="preserve"> комиссии Троснянского района</w:t>
            </w:r>
            <w:r w:rsidR="00F51876" w:rsidRPr="00571A19">
              <w:rPr>
                <w:rStyle w:val="a5"/>
                <w:b w:val="0"/>
              </w:rPr>
              <w:t>  </w:t>
            </w:r>
          </w:p>
        </w:tc>
        <w:tc>
          <w:tcPr>
            <w:tcW w:w="0" w:type="auto"/>
            <w:vAlign w:val="center"/>
          </w:tcPr>
          <w:p w:rsidR="00F51876" w:rsidRPr="00571A19" w:rsidRDefault="000609C6" w:rsidP="000E67F7">
            <w:pPr>
              <w:pStyle w:val="aa"/>
              <w:jc w:val="both"/>
            </w:pPr>
            <w:proofErr w:type="spellStart"/>
            <w:r w:rsidRPr="00571A19">
              <w:t>Г.П.Лапочкина</w:t>
            </w:r>
            <w:proofErr w:type="spellEnd"/>
          </w:p>
        </w:tc>
      </w:tr>
      <w:bookmarkEnd w:id="0"/>
      <w:bookmarkEnd w:id="1"/>
      <w:bookmarkEnd w:id="2"/>
      <w:bookmarkEnd w:id="3"/>
    </w:tbl>
    <w:p w:rsidR="00F51876" w:rsidRPr="00571A19" w:rsidRDefault="00F51876" w:rsidP="000E67F7">
      <w:pPr>
        <w:pStyle w:val="aa"/>
        <w:jc w:val="both"/>
      </w:pPr>
    </w:p>
    <w:p w:rsidR="000E67F7" w:rsidRPr="00571A19" w:rsidRDefault="000E67F7" w:rsidP="000E67F7">
      <w:pPr>
        <w:pStyle w:val="aa"/>
        <w:jc w:val="both"/>
      </w:pPr>
    </w:p>
    <w:p w:rsidR="000E67F7" w:rsidRPr="00571A19" w:rsidRDefault="000E67F7" w:rsidP="000E67F7">
      <w:pPr>
        <w:pStyle w:val="aa"/>
        <w:jc w:val="both"/>
      </w:pPr>
    </w:p>
    <w:sectPr w:rsidR="000E67F7" w:rsidRPr="00571A19" w:rsidSect="00950D5B">
      <w:pgSz w:w="11906" w:h="16838"/>
      <w:pgMar w:top="1134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99B" w:rsidRDefault="00CC599B">
      <w:r>
        <w:separator/>
      </w:r>
    </w:p>
  </w:endnote>
  <w:endnote w:type="continuationSeparator" w:id="0">
    <w:p w:rsidR="00CC599B" w:rsidRDefault="00CC5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99B" w:rsidRDefault="00CC599B">
      <w:r>
        <w:separator/>
      </w:r>
    </w:p>
  </w:footnote>
  <w:footnote w:type="continuationSeparator" w:id="0">
    <w:p w:rsidR="00CC599B" w:rsidRDefault="00CC5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36A8"/>
    <w:multiLevelType w:val="multilevel"/>
    <w:tmpl w:val="56AA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6043D"/>
    <w:multiLevelType w:val="multilevel"/>
    <w:tmpl w:val="982A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7F54E0"/>
    <w:multiLevelType w:val="multilevel"/>
    <w:tmpl w:val="96105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B713E3"/>
    <w:multiLevelType w:val="multilevel"/>
    <w:tmpl w:val="29FA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E20636"/>
    <w:multiLevelType w:val="multilevel"/>
    <w:tmpl w:val="E50E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1507D2"/>
    <w:multiLevelType w:val="multilevel"/>
    <w:tmpl w:val="7AB6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D00086"/>
    <w:multiLevelType w:val="multilevel"/>
    <w:tmpl w:val="7F3C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4265D1"/>
    <w:multiLevelType w:val="multilevel"/>
    <w:tmpl w:val="807C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443DFC"/>
    <w:multiLevelType w:val="multilevel"/>
    <w:tmpl w:val="472C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B118FB"/>
    <w:multiLevelType w:val="multilevel"/>
    <w:tmpl w:val="2F38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3B42FB"/>
    <w:multiLevelType w:val="multilevel"/>
    <w:tmpl w:val="C74A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9D1092"/>
    <w:multiLevelType w:val="multilevel"/>
    <w:tmpl w:val="CCD4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B65643"/>
    <w:multiLevelType w:val="multilevel"/>
    <w:tmpl w:val="4488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D82A78"/>
    <w:multiLevelType w:val="multilevel"/>
    <w:tmpl w:val="FC08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7A6BC7"/>
    <w:multiLevelType w:val="multilevel"/>
    <w:tmpl w:val="E0AA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0F176A"/>
    <w:multiLevelType w:val="multilevel"/>
    <w:tmpl w:val="EC5C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E172B3"/>
    <w:multiLevelType w:val="multilevel"/>
    <w:tmpl w:val="2AF6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2"/>
  </w:num>
  <w:num w:numId="5">
    <w:abstractNumId w:val="13"/>
  </w:num>
  <w:num w:numId="6">
    <w:abstractNumId w:val="14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  <w:num w:numId="13">
    <w:abstractNumId w:val="15"/>
  </w:num>
  <w:num w:numId="14">
    <w:abstractNumId w:val="8"/>
  </w:num>
  <w:num w:numId="15">
    <w:abstractNumId w:val="1"/>
  </w:num>
  <w:num w:numId="16">
    <w:abstractNumId w:val="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876"/>
    <w:rsid w:val="00020D6C"/>
    <w:rsid w:val="000257CA"/>
    <w:rsid w:val="00041DEC"/>
    <w:rsid w:val="0006069C"/>
    <w:rsid w:val="000609C6"/>
    <w:rsid w:val="00066047"/>
    <w:rsid w:val="00070178"/>
    <w:rsid w:val="00070E24"/>
    <w:rsid w:val="0007438A"/>
    <w:rsid w:val="00075F35"/>
    <w:rsid w:val="000852AE"/>
    <w:rsid w:val="00094081"/>
    <w:rsid w:val="00094347"/>
    <w:rsid w:val="00096F14"/>
    <w:rsid w:val="000E67F7"/>
    <w:rsid w:val="000F5563"/>
    <w:rsid w:val="00101BA0"/>
    <w:rsid w:val="001105C8"/>
    <w:rsid w:val="00126C4A"/>
    <w:rsid w:val="001466CC"/>
    <w:rsid w:val="001559E8"/>
    <w:rsid w:val="00195854"/>
    <w:rsid w:val="00196AD5"/>
    <w:rsid w:val="001A2A95"/>
    <w:rsid w:val="001B1842"/>
    <w:rsid w:val="001C3A22"/>
    <w:rsid w:val="001C54A0"/>
    <w:rsid w:val="002008CA"/>
    <w:rsid w:val="00201A74"/>
    <w:rsid w:val="00251D9F"/>
    <w:rsid w:val="00264BCD"/>
    <w:rsid w:val="002658A2"/>
    <w:rsid w:val="00277765"/>
    <w:rsid w:val="002B0EAC"/>
    <w:rsid w:val="002D3009"/>
    <w:rsid w:val="002E573F"/>
    <w:rsid w:val="00305E90"/>
    <w:rsid w:val="003173DF"/>
    <w:rsid w:val="00330954"/>
    <w:rsid w:val="00350434"/>
    <w:rsid w:val="003B0973"/>
    <w:rsid w:val="003B23E4"/>
    <w:rsid w:val="003F18A5"/>
    <w:rsid w:val="00415860"/>
    <w:rsid w:val="00424D15"/>
    <w:rsid w:val="00434C0D"/>
    <w:rsid w:val="00443E9D"/>
    <w:rsid w:val="00446569"/>
    <w:rsid w:val="00487818"/>
    <w:rsid w:val="004901FD"/>
    <w:rsid w:val="004A44B1"/>
    <w:rsid w:val="004B2596"/>
    <w:rsid w:val="004B4A54"/>
    <w:rsid w:val="004D25E4"/>
    <w:rsid w:val="004D2FB9"/>
    <w:rsid w:val="00502E87"/>
    <w:rsid w:val="0052669E"/>
    <w:rsid w:val="00540719"/>
    <w:rsid w:val="00545C0E"/>
    <w:rsid w:val="00571A19"/>
    <w:rsid w:val="005F19F2"/>
    <w:rsid w:val="005F37B1"/>
    <w:rsid w:val="00616EEE"/>
    <w:rsid w:val="006420F1"/>
    <w:rsid w:val="00643C32"/>
    <w:rsid w:val="00647C51"/>
    <w:rsid w:val="00653C6F"/>
    <w:rsid w:val="00670EB5"/>
    <w:rsid w:val="006879E2"/>
    <w:rsid w:val="00692B0C"/>
    <w:rsid w:val="00693359"/>
    <w:rsid w:val="006A19AB"/>
    <w:rsid w:val="006C2C25"/>
    <w:rsid w:val="006C52F3"/>
    <w:rsid w:val="006E3D81"/>
    <w:rsid w:val="00703CDB"/>
    <w:rsid w:val="00716794"/>
    <w:rsid w:val="00716AAC"/>
    <w:rsid w:val="00752D42"/>
    <w:rsid w:val="00771A5E"/>
    <w:rsid w:val="00782942"/>
    <w:rsid w:val="00793DCF"/>
    <w:rsid w:val="00795AC4"/>
    <w:rsid w:val="007A60A6"/>
    <w:rsid w:val="007A641E"/>
    <w:rsid w:val="007B12C2"/>
    <w:rsid w:val="007D6807"/>
    <w:rsid w:val="007F1DFF"/>
    <w:rsid w:val="007F4120"/>
    <w:rsid w:val="007F713D"/>
    <w:rsid w:val="007F7507"/>
    <w:rsid w:val="00800988"/>
    <w:rsid w:val="00823D8A"/>
    <w:rsid w:val="00851956"/>
    <w:rsid w:val="00854B4A"/>
    <w:rsid w:val="00855FB7"/>
    <w:rsid w:val="00863959"/>
    <w:rsid w:val="00867F6E"/>
    <w:rsid w:val="00891AA5"/>
    <w:rsid w:val="008963BB"/>
    <w:rsid w:val="008C2AC8"/>
    <w:rsid w:val="008D61BA"/>
    <w:rsid w:val="008E1F99"/>
    <w:rsid w:val="008F1975"/>
    <w:rsid w:val="00913E11"/>
    <w:rsid w:val="00950D5B"/>
    <w:rsid w:val="00953546"/>
    <w:rsid w:val="00953D97"/>
    <w:rsid w:val="009917E9"/>
    <w:rsid w:val="009B22D8"/>
    <w:rsid w:val="009F27F5"/>
    <w:rsid w:val="009F48B9"/>
    <w:rsid w:val="00A0454E"/>
    <w:rsid w:val="00A21C35"/>
    <w:rsid w:val="00A376DE"/>
    <w:rsid w:val="00A378AB"/>
    <w:rsid w:val="00A75717"/>
    <w:rsid w:val="00A775D3"/>
    <w:rsid w:val="00AC1E21"/>
    <w:rsid w:val="00AF11C1"/>
    <w:rsid w:val="00B003E2"/>
    <w:rsid w:val="00B01CA0"/>
    <w:rsid w:val="00B067C3"/>
    <w:rsid w:val="00B06981"/>
    <w:rsid w:val="00B134D9"/>
    <w:rsid w:val="00B2663B"/>
    <w:rsid w:val="00B33BB9"/>
    <w:rsid w:val="00B4787E"/>
    <w:rsid w:val="00B734D7"/>
    <w:rsid w:val="00B80AF5"/>
    <w:rsid w:val="00B90542"/>
    <w:rsid w:val="00B9142B"/>
    <w:rsid w:val="00B92F66"/>
    <w:rsid w:val="00B970AD"/>
    <w:rsid w:val="00BB3788"/>
    <w:rsid w:val="00BC16F7"/>
    <w:rsid w:val="00BC7D07"/>
    <w:rsid w:val="00C3181F"/>
    <w:rsid w:val="00C4383C"/>
    <w:rsid w:val="00C73D78"/>
    <w:rsid w:val="00C84FB2"/>
    <w:rsid w:val="00C854E5"/>
    <w:rsid w:val="00CA0E5F"/>
    <w:rsid w:val="00CC599B"/>
    <w:rsid w:val="00CF2A70"/>
    <w:rsid w:val="00CF4532"/>
    <w:rsid w:val="00D06565"/>
    <w:rsid w:val="00D07DC7"/>
    <w:rsid w:val="00D12A44"/>
    <w:rsid w:val="00D17FB2"/>
    <w:rsid w:val="00D37A58"/>
    <w:rsid w:val="00D40BB5"/>
    <w:rsid w:val="00D4312D"/>
    <w:rsid w:val="00D6605B"/>
    <w:rsid w:val="00D94988"/>
    <w:rsid w:val="00DA6FB7"/>
    <w:rsid w:val="00DA742D"/>
    <w:rsid w:val="00DD19AC"/>
    <w:rsid w:val="00DD2B4E"/>
    <w:rsid w:val="00E00833"/>
    <w:rsid w:val="00E36396"/>
    <w:rsid w:val="00E50949"/>
    <w:rsid w:val="00E522BC"/>
    <w:rsid w:val="00E57F08"/>
    <w:rsid w:val="00E752F8"/>
    <w:rsid w:val="00E9735F"/>
    <w:rsid w:val="00ED0779"/>
    <w:rsid w:val="00ED192D"/>
    <w:rsid w:val="00ED4399"/>
    <w:rsid w:val="00ED56E3"/>
    <w:rsid w:val="00EE7713"/>
    <w:rsid w:val="00F30BF4"/>
    <w:rsid w:val="00F33969"/>
    <w:rsid w:val="00F41B87"/>
    <w:rsid w:val="00F44366"/>
    <w:rsid w:val="00F504EE"/>
    <w:rsid w:val="00F51876"/>
    <w:rsid w:val="00F704BB"/>
    <w:rsid w:val="00F86D9F"/>
    <w:rsid w:val="00FA467D"/>
    <w:rsid w:val="00FA58C8"/>
    <w:rsid w:val="00FB06DB"/>
    <w:rsid w:val="00FB07AF"/>
    <w:rsid w:val="00FB0985"/>
    <w:rsid w:val="00FC5D26"/>
    <w:rsid w:val="00FE0431"/>
    <w:rsid w:val="00FF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51876"/>
    <w:rPr>
      <w:color w:val="CA0000"/>
      <w:u w:val="single"/>
    </w:rPr>
  </w:style>
  <w:style w:type="paragraph" w:styleId="a4">
    <w:name w:val="Normal (Web)"/>
    <w:basedOn w:val="a"/>
    <w:rsid w:val="00F51876"/>
    <w:pPr>
      <w:spacing w:before="100" w:beforeAutospacing="1" w:after="100" w:afterAutospacing="1"/>
      <w:jc w:val="both"/>
    </w:pPr>
  </w:style>
  <w:style w:type="character" w:styleId="a5">
    <w:name w:val="Strong"/>
    <w:basedOn w:val="a0"/>
    <w:qFormat/>
    <w:rsid w:val="00F51876"/>
    <w:rPr>
      <w:b/>
      <w:bCs/>
    </w:rPr>
  </w:style>
  <w:style w:type="paragraph" w:styleId="a6">
    <w:name w:val="header"/>
    <w:basedOn w:val="a"/>
    <w:rsid w:val="00DA6FB7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FB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1C54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C54A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A44B1"/>
    <w:rPr>
      <w:sz w:val="24"/>
      <w:szCs w:val="24"/>
    </w:rPr>
  </w:style>
  <w:style w:type="table" w:styleId="ab">
    <w:name w:val="Table Grid"/>
    <w:basedOn w:val="a1"/>
    <w:rsid w:val="00B00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p-kam.ru/deyat/expzakl/ez01-18/defaul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875BA-E4A6-45B1-A4D3-962514F0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ЭКСПЕРТНОЕ ЗАКЛЮЧЕНИЕ</vt:lpstr>
    </vt:vector>
  </TitlesOfParts>
  <Company>MoBIL GROUP</Company>
  <LinksUpToDate>false</LinksUpToDate>
  <CharactersWithSpaces>11106</CharactersWithSpaces>
  <SharedDoc>false</SharedDoc>
  <HLinks>
    <vt:vector size="6" baseType="variant">
      <vt:variant>
        <vt:i4>3997821</vt:i4>
      </vt:variant>
      <vt:variant>
        <vt:i4>0</vt:i4>
      </vt:variant>
      <vt:variant>
        <vt:i4>0</vt:i4>
      </vt:variant>
      <vt:variant>
        <vt:i4>5</vt:i4>
      </vt:variant>
      <vt:variant>
        <vt:lpwstr>http://ksp-kam.ru/deyat/expzakl/ez01-18/default.aspx</vt:lpwstr>
      </vt:variant>
      <vt:variant>
        <vt:lpwstr>_ftn3#_ftn3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</dc:title>
  <dc:subject/>
  <dc:creator>Alexandr</dc:creator>
  <cp:keywords/>
  <dc:description/>
  <cp:lastModifiedBy>Admin</cp:lastModifiedBy>
  <cp:revision>2</cp:revision>
  <cp:lastPrinted>2013-05-17T08:00:00Z</cp:lastPrinted>
  <dcterms:created xsi:type="dcterms:W3CDTF">2014-03-04T11:07:00Z</dcterms:created>
  <dcterms:modified xsi:type="dcterms:W3CDTF">2014-03-04T11:07:00Z</dcterms:modified>
</cp:coreProperties>
</file>