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626E8B" w:rsidRDefault="00BB4A61" w:rsidP="00B13AFE">
      <w:pPr>
        <w:rPr>
          <w:rFonts w:ascii="Arial" w:hAnsi="Arial" w:cs="Arial"/>
          <w:sz w:val="24"/>
          <w:szCs w:val="24"/>
          <w:lang w:val="en-US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C139D9" w:rsidRDefault="00B27527" w:rsidP="00626E8B">
      <w:pPr>
        <w:rPr>
          <w:rFonts w:ascii="Arial" w:hAnsi="Arial" w:cs="Arial"/>
          <w:sz w:val="24"/>
          <w:szCs w:val="24"/>
        </w:rPr>
      </w:pPr>
      <w:r w:rsidRPr="00C139D9">
        <w:rPr>
          <w:rFonts w:ascii="Arial" w:hAnsi="Arial" w:cs="Arial"/>
          <w:sz w:val="24"/>
          <w:szCs w:val="24"/>
        </w:rPr>
        <w:t>01</w:t>
      </w:r>
      <w:r w:rsidR="006A4E5E" w:rsidRPr="00C13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</w:t>
      </w:r>
      <w:r w:rsidRPr="00C139D9">
        <w:rPr>
          <w:rFonts w:ascii="Arial" w:hAnsi="Arial" w:cs="Arial"/>
          <w:sz w:val="24"/>
          <w:szCs w:val="24"/>
        </w:rPr>
        <w:t>6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</w:t>
      </w:r>
      <w:r w:rsidR="00626E8B">
        <w:rPr>
          <w:rFonts w:ascii="Arial" w:hAnsi="Arial" w:cs="Arial"/>
          <w:sz w:val="24"/>
          <w:szCs w:val="24"/>
        </w:rPr>
        <w:t xml:space="preserve">                </w:t>
      </w:r>
      <w:r w:rsidR="00DC6D6E">
        <w:rPr>
          <w:rFonts w:ascii="Arial" w:hAnsi="Arial" w:cs="Arial"/>
          <w:sz w:val="24"/>
          <w:szCs w:val="24"/>
        </w:rPr>
        <w:t xml:space="preserve">   </w:t>
      </w:r>
      <w:r w:rsidR="006A4E5E" w:rsidRPr="00626E8B">
        <w:rPr>
          <w:rFonts w:ascii="Arial" w:hAnsi="Arial" w:cs="Arial"/>
          <w:sz w:val="24"/>
          <w:szCs w:val="24"/>
        </w:rPr>
        <w:t xml:space="preserve"> №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139D9">
        <w:rPr>
          <w:rFonts w:ascii="Arial" w:hAnsi="Arial" w:cs="Arial"/>
          <w:sz w:val="24"/>
          <w:szCs w:val="24"/>
        </w:rPr>
        <w:t>1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C139D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пятом</w:t>
      </w:r>
      <w:r w:rsidR="00626E8B">
        <w:rPr>
          <w:rFonts w:ascii="Arial" w:hAnsi="Arial" w:cs="Arial"/>
          <w:sz w:val="24"/>
          <w:szCs w:val="24"/>
        </w:rPr>
        <w:t xml:space="preserve"> 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Муравльского </w:t>
      </w:r>
      <w:proofErr w:type="gramStart"/>
      <w:r w:rsidR="006A4E5E" w:rsidRPr="00626E8B">
        <w:rPr>
          <w:rFonts w:ascii="Arial" w:hAnsi="Arial" w:cs="Arial"/>
          <w:sz w:val="24"/>
          <w:szCs w:val="24"/>
        </w:rPr>
        <w:t>сельского</w:t>
      </w:r>
      <w:proofErr w:type="gramEnd"/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B27527">
        <w:rPr>
          <w:rFonts w:ascii="Arial" w:hAnsi="Arial" w:cs="Arial"/>
          <w:sz w:val="24"/>
          <w:szCs w:val="24"/>
        </w:rPr>
        <w:t xml:space="preserve"> на 201</w:t>
      </w:r>
      <w:r w:rsidR="00B27527" w:rsidRPr="00B27527">
        <w:rPr>
          <w:rFonts w:ascii="Arial" w:hAnsi="Arial" w:cs="Arial"/>
          <w:sz w:val="24"/>
          <w:szCs w:val="24"/>
        </w:rPr>
        <w:t>7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период 2018-2019 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C139D9">
        <w:rPr>
          <w:rFonts w:ascii="Arial" w:hAnsi="Arial" w:cs="Arial"/>
          <w:sz w:val="24"/>
          <w:szCs w:val="24"/>
        </w:rPr>
        <w:t>(принят в первом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981968">
        <w:rPr>
          <w:rFonts w:ascii="Arial" w:hAnsi="Arial" w:cs="Arial"/>
          <w:sz w:val="24"/>
          <w:szCs w:val="24"/>
        </w:rPr>
        <w:t>района Орловской области на 2017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поселения в сумме 451,0 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6B0901">
        <w:rPr>
          <w:rFonts w:ascii="Arial" w:hAnsi="Arial" w:cs="Arial"/>
          <w:sz w:val="24"/>
          <w:szCs w:val="24"/>
        </w:rPr>
        <w:t>льского поселения в сумме 45</w:t>
      </w:r>
      <w:r w:rsidR="006B0901" w:rsidRPr="006B0901">
        <w:rPr>
          <w:rFonts w:ascii="Arial" w:hAnsi="Arial" w:cs="Arial"/>
          <w:sz w:val="24"/>
          <w:szCs w:val="24"/>
        </w:rPr>
        <w:t>3</w:t>
      </w:r>
      <w:r w:rsidR="006B0901">
        <w:rPr>
          <w:rFonts w:ascii="Arial" w:hAnsi="Arial" w:cs="Arial"/>
          <w:sz w:val="24"/>
          <w:szCs w:val="24"/>
        </w:rPr>
        <w:t>,6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6B0901">
        <w:rPr>
          <w:rFonts w:ascii="Arial" w:hAnsi="Arial" w:cs="Arial"/>
          <w:sz w:val="24"/>
          <w:szCs w:val="24"/>
        </w:rPr>
        <w:t>жета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5)Прогнозируемый общий объем доходов бюджета сельского поселения на 2018 год в сумме 455,1тыс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и на 2019 год в сумме 490,9 тыс.рублей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6)общий объем расходов бюджета сельского поселения на 2016год в сумме 455,1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 и на 2019 год 490,9 тыс.рублей.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Главы сельского поселения на 2018г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 сумме 2 тыс.рублей и на 2019 год в сумме 2 тыс.рублей </w:t>
      </w:r>
    </w:p>
    <w:p w:rsidR="006B0901" w:rsidRPr="00626E8B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7) равенство прогнозируемого общего объема доходов и общего объема расходов в 2018 и 2019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Муравльс</w:t>
      </w:r>
      <w:r w:rsidR="004210F8">
        <w:rPr>
          <w:rFonts w:ascii="Arial" w:hAnsi="Arial" w:cs="Arial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6A4E5E" w:rsidRPr="00626E8B" w:rsidRDefault="006A4E5E" w:rsidP="006A4E5E">
      <w:pPr>
        <w:jc w:val="both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3. 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lastRenderedPageBreak/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4210F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4210F8">
        <w:rPr>
          <w:rFonts w:ascii="Arial" w:hAnsi="Arial" w:cs="Arial"/>
          <w:sz w:val="24"/>
          <w:szCs w:val="24"/>
        </w:rPr>
        <w:t>В случае изменения в 2017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</w:t>
      </w:r>
      <w:proofErr w:type="gramEnd"/>
      <w:r w:rsidRPr="00626E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E8B">
        <w:rPr>
          <w:rFonts w:ascii="Arial" w:hAnsi="Arial" w:cs="Arial"/>
          <w:sz w:val="24"/>
          <w:szCs w:val="24"/>
        </w:rPr>
        <w:t>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>. Утвердить прогнозируемое поступление доходов в бюджет Муравльс</w:t>
      </w:r>
      <w:r w:rsidR="004210F8">
        <w:rPr>
          <w:rFonts w:ascii="Arial" w:hAnsi="Arial" w:cs="Arial"/>
          <w:color w:val="000000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</w:t>
      </w:r>
      <w:proofErr w:type="gramStart"/>
      <w:r w:rsidRPr="00626E8B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4210F8" w:rsidRPr="00626E8B" w:rsidRDefault="004210F8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-на 2018 и 2019 годы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5 к настоящему решению</w:t>
      </w: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143751">
        <w:rPr>
          <w:rFonts w:ascii="Arial" w:hAnsi="Arial" w:cs="Arial"/>
          <w:color w:val="000000"/>
          <w:sz w:val="24"/>
          <w:szCs w:val="24"/>
        </w:rPr>
        <w:t>2017 год    согласно  приложению 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-на 2018 и 2019 годы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7 к настоящему решению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</w:t>
      </w:r>
      <w:r w:rsidR="004210F8">
        <w:rPr>
          <w:rFonts w:ascii="Arial" w:hAnsi="Arial" w:cs="Arial"/>
          <w:color w:val="000000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приложению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8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2018 и 2019 годы согласно приложению 9 к настоящему решению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Муравльского сельского поселения на 2016 год согласно при</w:t>
      </w:r>
      <w:r w:rsidR="00143751">
        <w:rPr>
          <w:rFonts w:ascii="Arial" w:hAnsi="Arial" w:cs="Arial"/>
          <w:color w:val="000000"/>
          <w:sz w:val="24"/>
          <w:szCs w:val="24"/>
        </w:rPr>
        <w:t>ложению 10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2018 и 2019 годы согласно приложению 11 к настоящему решению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железнодорожных билетов, билетов </w:t>
      </w:r>
      <w:r w:rsidRPr="00626E8B">
        <w:rPr>
          <w:rFonts w:ascii="Arial" w:hAnsi="Arial" w:cs="Arial"/>
          <w:sz w:val="24"/>
          <w:szCs w:val="24"/>
        </w:rPr>
        <w:lastRenderedPageBreak/>
        <w:t>для проезда городским</w:t>
      </w:r>
      <w:proofErr w:type="gramEnd"/>
      <w:r w:rsidRPr="00626E8B">
        <w:rPr>
          <w:rFonts w:ascii="Arial" w:hAnsi="Arial" w:cs="Arial"/>
          <w:sz w:val="24"/>
          <w:szCs w:val="24"/>
        </w:rPr>
        <w:t xml:space="preserve"> и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4210F8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2017</w:t>
      </w:r>
      <w:r w:rsidR="006A4E5E" w:rsidRPr="00626E8B">
        <w:rPr>
          <w:rFonts w:ascii="Arial" w:hAnsi="Arial" w:cs="Arial"/>
          <w:sz w:val="24"/>
          <w:szCs w:val="24"/>
        </w:rPr>
        <w:t xml:space="preserve"> году бюджету сельского поселения    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26E8B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</w:t>
      </w:r>
      <w:r w:rsidR="004210F8">
        <w:rPr>
          <w:rFonts w:ascii="Arial" w:hAnsi="Arial" w:cs="Arial"/>
          <w:sz w:val="24"/>
          <w:szCs w:val="24"/>
        </w:rPr>
        <w:t>джета сельского поселения в 2017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Pr="00626E8B">
        <w:rPr>
          <w:rFonts w:ascii="Arial" w:hAnsi="Arial" w:cs="Arial"/>
          <w:sz w:val="24"/>
          <w:szCs w:val="24"/>
        </w:rPr>
        <w:t xml:space="preserve"> соответствующих источников дополнительных </w:t>
      </w:r>
      <w:r w:rsidRPr="00626E8B">
        <w:rPr>
          <w:rFonts w:ascii="Arial" w:hAnsi="Arial" w:cs="Arial"/>
          <w:sz w:val="24"/>
          <w:szCs w:val="24"/>
        </w:rPr>
        <w:lastRenderedPageBreak/>
        <w:t>поступлений в бюджет сельского поселения и (или) при сокращении бюджетных ассигнований по отдельным статьям бюд</w:t>
      </w:r>
      <w:r w:rsidR="004210F8">
        <w:rPr>
          <w:rFonts w:ascii="Arial" w:hAnsi="Arial" w:cs="Arial"/>
          <w:sz w:val="24"/>
          <w:szCs w:val="24"/>
        </w:rPr>
        <w:t>жета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4210F8">
        <w:rPr>
          <w:rFonts w:ascii="Arial" w:hAnsi="Arial" w:cs="Arial"/>
          <w:sz w:val="24"/>
          <w:szCs w:val="24"/>
        </w:rPr>
        <w:t>ют свое действие 31 декабря 2017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4210F8">
        <w:rPr>
          <w:rFonts w:ascii="Arial" w:hAnsi="Arial" w:cs="Arial"/>
          <w:sz w:val="24"/>
          <w:szCs w:val="24"/>
        </w:rPr>
        <w:t xml:space="preserve"> вступает в силу с 1 января 2017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626E8B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A6026D" w:rsidRPr="00626E8B" w:rsidRDefault="00A6026D" w:rsidP="00A6026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026D" w:rsidRPr="00626E8B" w:rsidRDefault="00A6026D" w:rsidP="00A6026D">
      <w:pPr>
        <w:jc w:val="center"/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0B7B28" w:rsidRPr="00DC6D6E" w:rsidRDefault="000B7B28" w:rsidP="000B7B28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1497" w:type="dxa"/>
        <w:tblInd w:w="93" w:type="dxa"/>
        <w:tblLook w:val="04A0"/>
      </w:tblPr>
      <w:tblGrid>
        <w:gridCol w:w="615"/>
        <w:gridCol w:w="164"/>
        <w:gridCol w:w="615"/>
        <w:gridCol w:w="2173"/>
        <w:gridCol w:w="7315"/>
        <w:gridCol w:w="615"/>
      </w:tblGrid>
      <w:tr w:rsidR="003C0D08" w:rsidRPr="00626E8B" w:rsidTr="00DC6D6E">
        <w:trPr>
          <w:gridAfter w:val="1"/>
          <w:wAfter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626E8B" w:rsidRDefault="003C0D08" w:rsidP="003C0D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626E8B" w:rsidRDefault="003C0D08" w:rsidP="003C0D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08" w:rsidRPr="00626E8B" w:rsidTr="00DC6D6E">
        <w:trPr>
          <w:gridBefore w:val="1"/>
          <w:wBefore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DC6D6E" w:rsidRDefault="003C0D08" w:rsidP="003C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D08" w:rsidRPr="00626E8B" w:rsidTr="00DC6D6E">
        <w:trPr>
          <w:gridBefore w:val="1"/>
          <w:wBefore w:w="615" w:type="dxa"/>
          <w:trHeight w:val="25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DC6D6E" w:rsidRDefault="003C0D08" w:rsidP="004B73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6D6E">
              <w:rPr>
                <w:rFonts w:ascii="Arial" w:hAnsi="Arial" w:cs="Arial"/>
                <w:bCs/>
                <w:sz w:val="16"/>
                <w:szCs w:val="16"/>
              </w:rPr>
              <w:t>ПЕРЕЧЕНЬ</w:t>
            </w:r>
          </w:p>
        </w:tc>
      </w:tr>
      <w:tr w:rsidR="003C0D08" w:rsidRPr="00626E8B" w:rsidTr="00DC6D6E">
        <w:trPr>
          <w:gridBefore w:val="1"/>
          <w:wBefore w:w="615" w:type="dxa"/>
          <w:trHeight w:val="375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главных администраторов доходов бюджета Муравльского сельского поселения</w:t>
            </w:r>
          </w:p>
        </w:tc>
      </w:tr>
      <w:tr w:rsidR="003C0D08" w:rsidRPr="00626E8B" w:rsidTr="00DC6D6E">
        <w:trPr>
          <w:gridBefore w:val="1"/>
          <w:wBefore w:w="615" w:type="dxa"/>
          <w:trHeight w:val="375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Троснянского района Орловской области и кодо</w:t>
            </w:r>
            <w:r w:rsidR="001437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бюджетной классификации в 2017</w:t>
            </w:r>
            <w:r w:rsidRPr="00DC6D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3C0D08" w:rsidRPr="00626E8B" w:rsidTr="00DC6D6E">
        <w:trPr>
          <w:gridAfter w:val="1"/>
          <w:wAfter w:w="615" w:type="dxa"/>
          <w:trHeight w:val="31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375"/>
        </w:trPr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3C0D08" w:rsidRPr="00626E8B" w:rsidTr="00DC6D6E">
        <w:trPr>
          <w:gridAfter w:val="1"/>
          <w:wAfter w:w="615" w:type="dxa"/>
          <w:trHeight w:val="159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C0D08" w:rsidRPr="00DC6D6E" w:rsidRDefault="003C0D08" w:rsidP="003C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Администратора доходов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доходов бюджета сельского поселения</w:t>
            </w:r>
          </w:p>
        </w:tc>
        <w:tc>
          <w:tcPr>
            <w:tcW w:w="7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383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D6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Муравльского  сельского поселения</w:t>
            </w:r>
          </w:p>
        </w:tc>
      </w:tr>
      <w:tr w:rsidR="003C0D08" w:rsidRPr="00626E8B" w:rsidTr="00DC6D6E">
        <w:trPr>
          <w:gridAfter w:val="1"/>
          <w:wAfter w:w="615" w:type="dxa"/>
          <w:trHeight w:val="14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0D08" w:rsidRPr="00626E8B" w:rsidTr="00DC6D6E">
        <w:trPr>
          <w:gridAfter w:val="1"/>
          <w:wAfter w:w="615" w:type="dxa"/>
          <w:trHeight w:val="6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1 11 02033 10 0000 120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2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0D08" w:rsidRPr="00626E8B" w:rsidTr="00DC6D6E">
        <w:trPr>
          <w:gridAfter w:val="1"/>
          <w:wAfter w:w="615" w:type="dxa"/>
          <w:trHeight w:val="6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73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9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C0D08" w:rsidRPr="00626E8B" w:rsidTr="00DC6D6E">
        <w:trPr>
          <w:gridAfter w:val="1"/>
          <w:wAfter w:w="615" w:type="dxa"/>
          <w:trHeight w:val="9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1 15 02050 10 0000 140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C0D08" w:rsidRPr="00626E8B" w:rsidTr="00DC6D6E">
        <w:trPr>
          <w:gridAfter w:val="1"/>
          <w:wAfter w:w="615" w:type="dxa"/>
          <w:trHeight w:val="112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1 16 23051 10 0000 140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84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1 16 23052 10 0000 140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поселений.</w:t>
            </w:r>
          </w:p>
        </w:tc>
      </w:tr>
      <w:tr w:rsidR="003C0D08" w:rsidRPr="00626E8B" w:rsidTr="00DC6D6E">
        <w:trPr>
          <w:gridAfter w:val="1"/>
          <w:wAfter w:w="615" w:type="dxa"/>
          <w:trHeight w:val="11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1 17 02020 10 0000 180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C0D08" w:rsidRPr="00626E8B" w:rsidTr="00DC6D6E">
        <w:trPr>
          <w:gridAfter w:val="1"/>
          <w:wAfter w:w="615" w:type="dxa"/>
          <w:trHeight w:val="34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34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1 17 12050 10 0000 180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Целевые отчисления от лотерей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1 17 14030 10 0000 180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самооблажения граждан, зачисляемые в бюджеты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2 02 01003 10 0000 151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3C0D08" w:rsidRPr="00626E8B" w:rsidTr="00DC6D6E">
        <w:trPr>
          <w:gridAfter w:val="1"/>
          <w:wAfter w:w="615" w:type="dxa"/>
          <w:trHeight w:val="36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2 02 01999 10 0000 151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дотации бюджетам поселений. </w:t>
            </w:r>
          </w:p>
        </w:tc>
      </w:tr>
      <w:tr w:rsidR="003C0D08" w:rsidRPr="00626E8B" w:rsidTr="00DC6D6E">
        <w:trPr>
          <w:gridAfter w:val="1"/>
          <w:wAfter w:w="615" w:type="dxa"/>
          <w:trHeight w:val="11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2 02 02021 10 0000 151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безхозяйных гидротехнических сооружений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1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2 02 02041 10 0000 151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за исключением автомобильных дорог федерального значения)</w:t>
            </w:r>
          </w:p>
        </w:tc>
      </w:tr>
      <w:tr w:rsidR="003C0D08" w:rsidRPr="00626E8B" w:rsidTr="00DC6D6E">
        <w:trPr>
          <w:gridAfter w:val="1"/>
          <w:wAfter w:w="615" w:type="dxa"/>
          <w:trHeight w:val="17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2 02 02216 10 0000 151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бюджетов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0D08" w:rsidRPr="00626E8B" w:rsidTr="00DC6D6E">
        <w:trPr>
          <w:gridAfter w:val="1"/>
          <w:wAfter w:w="615" w:type="dxa"/>
          <w:trHeight w:val="36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2 02 03002 10 0000 151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2 02 03003 10 0000 151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C0D08" w:rsidRPr="00626E8B" w:rsidTr="00DC6D6E">
        <w:trPr>
          <w:gridAfter w:val="1"/>
          <w:wAfter w:w="615" w:type="dxa"/>
          <w:trHeight w:val="8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2 02 03015 10 0000 151 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="00DC6D6E" w:rsidRPr="00DC6D6E">
              <w:rPr>
                <w:rFonts w:ascii="Arial" w:hAnsi="Arial" w:cs="Arial"/>
                <w:sz w:val="16"/>
                <w:szCs w:val="16"/>
              </w:rPr>
              <w:t>комиссариаты</w:t>
            </w:r>
          </w:p>
        </w:tc>
      </w:tr>
      <w:tr w:rsidR="003C0D08" w:rsidRPr="00626E8B" w:rsidTr="00DC6D6E">
        <w:trPr>
          <w:gridAfter w:val="1"/>
          <w:wAfter w:w="615" w:type="dxa"/>
          <w:trHeight w:val="2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2 02 03999 10 0000 151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44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2 02 04014 10 0000 151 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  <w:proofErr w:type="gramStart"/>
            <w:r w:rsidRPr="00DC6D6E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C6D6E">
              <w:rPr>
                <w:rFonts w:ascii="Arial" w:hAnsi="Arial" w:cs="Arial"/>
                <w:sz w:val="16"/>
                <w:szCs w:val="16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0D08" w:rsidRPr="00626E8B" w:rsidTr="00DC6D6E">
        <w:trPr>
          <w:gridAfter w:val="1"/>
          <w:wAfter w:w="615" w:type="dxa"/>
          <w:trHeight w:val="5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2 02 04999 10 0000 151 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2 02 09054 10 0000 151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безвозмездные поступления  в бюджеты поселений от бюджетов муниципальных районов</w:t>
            </w:r>
          </w:p>
        </w:tc>
      </w:tr>
      <w:tr w:rsidR="003C0D08" w:rsidRPr="00626E8B" w:rsidTr="00DC6D6E">
        <w:trPr>
          <w:gridAfter w:val="1"/>
          <w:wAfter w:w="615" w:type="dxa"/>
          <w:trHeight w:val="61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2 02 09070 00 0000 151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3C0D08" w:rsidRPr="00626E8B" w:rsidTr="00DC6D6E">
        <w:trPr>
          <w:gridAfter w:val="1"/>
          <w:wAfter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2 07 05030 10 0000 180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74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2 08 05000 10 0000 180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D08" w:rsidRPr="00626E8B" w:rsidTr="00DC6D6E">
        <w:trPr>
          <w:gridAfter w:val="1"/>
          <w:wAfter w:w="615" w:type="dxa"/>
          <w:trHeight w:val="11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2 18 05020 10 0000 151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C0D08" w:rsidRPr="00626E8B" w:rsidTr="00DC6D6E">
        <w:trPr>
          <w:gridAfter w:val="1"/>
          <w:wAfter w:w="615" w:type="dxa"/>
          <w:trHeight w:val="8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2 19 05000 10 0000 151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6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D08" w:rsidRDefault="003C0D08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сельского поселения                                              </w:t>
            </w:r>
            <w:r w:rsidR="00DC6D6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Е.</w:t>
            </w:r>
            <w:r w:rsidR="00DC6D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Н.</w:t>
            </w:r>
            <w:r w:rsidR="00DC6D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Ковалькова</w:t>
            </w: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39D9" w:rsidRPr="00626E8B" w:rsidRDefault="00C139D9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                   </w:t>
      </w:r>
    </w:p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4057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  <w:lang w:val="en-US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143751">
        <w:rPr>
          <w:rFonts w:ascii="Arial" w:hAnsi="Arial" w:cs="Arial"/>
          <w:sz w:val="24"/>
          <w:szCs w:val="24"/>
        </w:rPr>
        <w:t xml:space="preserve">                          от  01  декабря 2016</w:t>
      </w:r>
      <w:r w:rsidRPr="00626E8B">
        <w:rPr>
          <w:rFonts w:ascii="Arial" w:hAnsi="Arial" w:cs="Arial"/>
          <w:sz w:val="24"/>
          <w:szCs w:val="24"/>
        </w:rPr>
        <w:t xml:space="preserve">года  № </w:t>
      </w:r>
      <w:r w:rsidR="00143751">
        <w:rPr>
          <w:rFonts w:ascii="Arial" w:hAnsi="Arial" w:cs="Arial"/>
          <w:color w:val="FF0000"/>
          <w:sz w:val="24"/>
          <w:szCs w:val="24"/>
        </w:rPr>
        <w:t>11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402"/>
        <w:gridCol w:w="4968"/>
      </w:tblGrid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самооблажения граждан, зачисляемые в бюджеты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2 02 03002 10 0000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подготовке проведения статистических переписей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2 02 09054 10 0000 151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2 02 09070 10 0000 151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r w:rsidR="00CC07AF" w:rsidRPr="00626E8B">
              <w:rPr>
                <w:rFonts w:ascii="Arial" w:hAnsi="Arial" w:cs="Arial"/>
                <w:sz w:val="24"/>
                <w:szCs w:val="24"/>
              </w:rPr>
              <w:t>(</w:t>
            </w:r>
            <w:r w:rsidRPr="00626E8B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626E8B" w:rsidRDefault="00CC07AF" w:rsidP="00CC07A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C07AF" w:rsidRPr="00626E8B" w:rsidRDefault="00CC07AF" w:rsidP="00CC07A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9D0E0E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9D0E0E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DC4057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№ 1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01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</w:rPr>
                    <w:t>.12.201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DC4057" w:rsidRPr="00DC4057" w:rsidRDefault="00DC4057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626E8B" w:rsidRDefault="00F71237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626E8B">
        <w:rPr>
          <w:rFonts w:ascii="Arial" w:hAnsi="Arial" w:cs="Arial"/>
          <w:sz w:val="24"/>
          <w:szCs w:val="24"/>
          <w:lang w:val="en-US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143751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11</w:t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01.12.2016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DC4057">
        <w:rPr>
          <w:rFonts w:ascii="Arial" w:hAnsi="Arial" w:cs="Arial"/>
          <w:b/>
          <w:sz w:val="24"/>
          <w:szCs w:val="24"/>
        </w:rPr>
        <w:t xml:space="preserve">о сельского   поселения  на 2017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DC4057" w:rsidRPr="00626E8B" w:rsidRDefault="00DC405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9573C" w:rsidRPr="00626E8B" w:rsidRDefault="00DB1E70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F9573C" w:rsidRPr="00626E8B" w:rsidRDefault="00F9573C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№ </w:t>
      </w:r>
      <w:r w:rsidR="00BB4A61" w:rsidRPr="00626E8B">
        <w:rPr>
          <w:rFonts w:ascii="Arial" w:hAnsi="Arial" w:cs="Arial"/>
          <w:sz w:val="24"/>
          <w:szCs w:val="24"/>
        </w:rPr>
        <w:t>1</w:t>
      </w:r>
      <w:r w:rsidR="00F71237" w:rsidRPr="005D5216">
        <w:rPr>
          <w:rFonts w:ascii="Arial" w:hAnsi="Arial" w:cs="Arial"/>
          <w:sz w:val="24"/>
          <w:szCs w:val="24"/>
        </w:rPr>
        <w:t xml:space="preserve">1 </w:t>
      </w:r>
      <w:r w:rsidR="009D5DE4" w:rsidRPr="00626E8B">
        <w:rPr>
          <w:rFonts w:ascii="Arial" w:hAnsi="Arial" w:cs="Arial"/>
          <w:sz w:val="24"/>
          <w:szCs w:val="24"/>
        </w:rPr>
        <w:t>от</w:t>
      </w:r>
      <w:r w:rsidR="00BB4A61" w:rsidRPr="00626E8B">
        <w:rPr>
          <w:rFonts w:ascii="Arial" w:hAnsi="Arial" w:cs="Arial"/>
          <w:sz w:val="24"/>
          <w:szCs w:val="24"/>
        </w:rPr>
        <w:t xml:space="preserve"> </w:t>
      </w:r>
      <w:r w:rsidR="001D740C" w:rsidRPr="00626E8B">
        <w:rPr>
          <w:rFonts w:ascii="Arial" w:hAnsi="Arial" w:cs="Arial"/>
          <w:sz w:val="24"/>
          <w:szCs w:val="24"/>
        </w:rPr>
        <w:t xml:space="preserve">  </w:t>
      </w:r>
      <w:r w:rsidR="00143751">
        <w:rPr>
          <w:rFonts w:ascii="Arial" w:hAnsi="Arial" w:cs="Arial"/>
          <w:sz w:val="24"/>
          <w:szCs w:val="24"/>
        </w:rPr>
        <w:t>01.12.2016</w:t>
      </w:r>
    </w:p>
    <w:p w:rsidR="00F9573C" w:rsidRPr="00626E8B" w:rsidRDefault="00F9573C" w:rsidP="00F9573C">
      <w:pPr>
        <w:rPr>
          <w:rFonts w:ascii="Arial" w:hAnsi="Arial" w:cs="Arial"/>
          <w:sz w:val="24"/>
          <w:szCs w:val="24"/>
        </w:rPr>
      </w:pPr>
    </w:p>
    <w:p w:rsidR="00F9573C" w:rsidRPr="00626E8B" w:rsidRDefault="001B2346" w:rsidP="0070248A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поступления доходов на 201</w:t>
      </w:r>
      <w:r w:rsidR="005D5216" w:rsidRPr="005D5216">
        <w:rPr>
          <w:rFonts w:ascii="Arial" w:hAnsi="Arial" w:cs="Arial"/>
          <w:sz w:val="24"/>
          <w:szCs w:val="24"/>
        </w:rPr>
        <w:t>7</w:t>
      </w:r>
      <w:r w:rsidR="00F9573C" w:rsidRPr="00626E8B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F9573C" w:rsidRPr="00626E8B" w:rsidRDefault="00F9573C" w:rsidP="001C7CAA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 w:rsidR="00CC07AF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 w:rsidRPr="00626E8B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Сумма на год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 w:rsidP="004C5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178,9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 w:rsidP="004E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570AF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полученных  физическими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0265" w:rsidRPr="00626E8B">
              <w:rPr>
                <w:rFonts w:ascii="Arial" w:hAnsi="Arial" w:cs="Arial"/>
                <w:sz w:val="24"/>
                <w:szCs w:val="24"/>
              </w:rPr>
              <w:t>1</w:t>
            </w:r>
            <w:r w:rsidR="004C5F51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000 1 08 04020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C5F51" w:rsidRDefault="00CC07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C5F51" w:rsidRPr="004C5F51">
              <w:rPr>
                <w:rFonts w:ascii="Arial" w:hAnsi="Arial" w:cs="Arial"/>
                <w:sz w:val="24"/>
                <w:szCs w:val="24"/>
              </w:rPr>
              <w:t>274</w:t>
            </w:r>
            <w:r w:rsidR="004C5F51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F51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C5F51" w:rsidRDefault="00057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45</w:t>
            </w:r>
            <w:r w:rsidR="004C5F51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11" w:rsidRPr="00626E8B" w:rsidRDefault="00930F11" w:rsidP="00930F11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05CAD" w:rsidRPr="00626E8B" w:rsidRDefault="00205CAD" w:rsidP="00930F11">
      <w:pPr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930F11" w:rsidP="00F7123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E50D7" w:rsidRPr="00DC4057" w:rsidRDefault="00344CF1" w:rsidP="00DC405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Pr="00C3693B" w:rsidRDefault="004E50D7" w:rsidP="004E50D7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>№ 1</w:t>
      </w:r>
      <w:r w:rsidRPr="004E50D7">
        <w:rPr>
          <w:rFonts w:ascii="Arial" w:hAnsi="Arial" w:cs="Arial"/>
          <w:sz w:val="24"/>
          <w:szCs w:val="24"/>
        </w:rPr>
        <w:t xml:space="preserve">1 </w:t>
      </w:r>
      <w:r w:rsidRPr="00626E8B">
        <w:rPr>
          <w:rFonts w:ascii="Arial" w:hAnsi="Arial" w:cs="Arial"/>
          <w:sz w:val="24"/>
          <w:szCs w:val="24"/>
        </w:rPr>
        <w:t xml:space="preserve">от   </w:t>
      </w:r>
      <w:r w:rsidR="00143751">
        <w:rPr>
          <w:rFonts w:ascii="Arial" w:hAnsi="Arial" w:cs="Arial"/>
          <w:sz w:val="24"/>
          <w:szCs w:val="24"/>
        </w:rPr>
        <w:t>01</w:t>
      </w:r>
      <w:r w:rsidRPr="00626E8B">
        <w:rPr>
          <w:rFonts w:ascii="Arial" w:hAnsi="Arial" w:cs="Arial"/>
          <w:sz w:val="24"/>
          <w:szCs w:val="24"/>
        </w:rPr>
        <w:t>.12.201</w:t>
      </w:r>
      <w:r w:rsidR="00143751">
        <w:rPr>
          <w:rFonts w:ascii="Arial" w:hAnsi="Arial" w:cs="Arial"/>
          <w:sz w:val="24"/>
          <w:szCs w:val="24"/>
        </w:rPr>
        <w:t>6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>тупления доходов на 201</w:t>
      </w:r>
      <w:r w:rsidR="005D5216" w:rsidRPr="005D5216">
        <w:rPr>
          <w:rFonts w:ascii="Arial" w:hAnsi="Arial" w:cs="Arial"/>
          <w:sz w:val="24"/>
          <w:szCs w:val="24"/>
        </w:rPr>
        <w:t>8-2019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697"/>
      </w:tblGrid>
      <w:tr w:rsidR="004E50D7" w:rsidRPr="00626E8B" w:rsidTr="004E50D7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C5F5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2018г.</w:t>
            </w:r>
            <w:r w:rsidR="004E50D7" w:rsidRPr="00626E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C5F5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4E50D7" w:rsidRPr="004C5F51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3F7">
              <w:rPr>
                <w:rFonts w:ascii="Arial" w:hAnsi="Arial" w:cs="Arial"/>
                <w:sz w:val="22"/>
                <w:szCs w:val="22"/>
              </w:rPr>
              <w:t>179,2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209,5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C5F51">
              <w:rPr>
                <w:rFonts w:ascii="Arial" w:hAnsi="Arial" w:cs="Arial"/>
                <w:sz w:val="22"/>
                <w:szCs w:val="22"/>
              </w:rPr>
              <w:t xml:space="preserve"> 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F03F7"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7,0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4E50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F03F7">
              <w:rPr>
                <w:rFonts w:ascii="Arial" w:hAnsi="Arial" w:cs="Arial"/>
                <w:sz w:val="22"/>
                <w:szCs w:val="22"/>
              </w:rPr>
              <w:t>5</w:t>
            </w:r>
            <w:r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000 1 14 06000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 от продажи земельных участков,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A52BC">
              <w:rPr>
                <w:rFonts w:ascii="Arial" w:hAnsi="Arial" w:cs="Arial"/>
                <w:sz w:val="22"/>
                <w:szCs w:val="22"/>
              </w:rPr>
              <w:t>275,9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A52BC">
              <w:rPr>
                <w:rFonts w:ascii="Arial" w:hAnsi="Arial" w:cs="Arial"/>
                <w:sz w:val="22"/>
                <w:szCs w:val="22"/>
              </w:rPr>
              <w:t xml:space="preserve"> 275,9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1A52B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1A52BC" w:rsidP="001A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1A52B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1A52BC" w:rsidRDefault="001A52B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D02B5E" w:rsidRDefault="00D02B5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490,9</w:t>
            </w:r>
          </w:p>
        </w:tc>
      </w:tr>
      <w:tr w:rsidR="004E50D7" w:rsidRPr="00626E8B" w:rsidTr="004E50D7">
        <w:trPr>
          <w:gridAfter w:val="1"/>
          <w:wAfter w:w="69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344CF1" w:rsidRPr="00C3693B" w:rsidRDefault="00344CF1" w:rsidP="0070248A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                    </w:t>
      </w:r>
      <w:r w:rsidR="00C3693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6</w:t>
      </w: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="001B290A" w:rsidRPr="00626E8B">
        <w:rPr>
          <w:rFonts w:ascii="Arial" w:hAnsi="Arial" w:cs="Arial"/>
          <w:sz w:val="24"/>
          <w:szCs w:val="24"/>
        </w:rPr>
        <w:t xml:space="preserve">к </w:t>
      </w:r>
      <w:r w:rsidRPr="00626E8B"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F71237" w:rsidRPr="00626E8B">
        <w:rPr>
          <w:rFonts w:ascii="Arial" w:hAnsi="Arial" w:cs="Arial"/>
          <w:sz w:val="24"/>
          <w:szCs w:val="24"/>
        </w:rPr>
        <w:t xml:space="preserve">№ </w:t>
      </w:r>
      <w:r w:rsidR="00143751">
        <w:rPr>
          <w:rFonts w:ascii="Arial" w:hAnsi="Arial" w:cs="Arial"/>
          <w:sz w:val="24"/>
          <w:szCs w:val="24"/>
          <w:lang w:val="en-US"/>
        </w:rPr>
        <w:t>1</w:t>
      </w:r>
      <w:r w:rsidR="00F71237" w:rsidRPr="00626E8B">
        <w:rPr>
          <w:rFonts w:ascii="Arial" w:hAnsi="Arial" w:cs="Arial"/>
          <w:sz w:val="24"/>
          <w:szCs w:val="24"/>
          <w:lang w:val="en-US"/>
        </w:rPr>
        <w:t>1</w:t>
      </w:r>
      <w:r w:rsidR="00BB4A61" w:rsidRPr="00626E8B">
        <w:rPr>
          <w:rFonts w:ascii="Arial" w:hAnsi="Arial" w:cs="Arial"/>
          <w:sz w:val="24"/>
          <w:szCs w:val="24"/>
        </w:rPr>
        <w:t xml:space="preserve"> от </w:t>
      </w:r>
      <w:r w:rsidR="00143751">
        <w:rPr>
          <w:rFonts w:ascii="Arial" w:hAnsi="Arial" w:cs="Arial"/>
          <w:sz w:val="24"/>
          <w:szCs w:val="24"/>
        </w:rPr>
        <w:t>01.12.2016</w:t>
      </w:r>
    </w:p>
    <w:p w:rsidR="00CC433A" w:rsidRPr="00626E8B" w:rsidRDefault="00CC433A" w:rsidP="00CC433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CC433A" w:rsidRPr="00626E8B" w:rsidRDefault="00CC433A" w:rsidP="0070248A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Муравльского сельского поселения на 201</w:t>
      </w:r>
      <w:r w:rsidR="005D5216">
        <w:rPr>
          <w:rFonts w:ascii="Arial" w:hAnsi="Arial" w:cs="Arial"/>
          <w:sz w:val="24"/>
          <w:szCs w:val="24"/>
        </w:rPr>
        <w:t>7</w:t>
      </w:r>
      <w:r w:rsidRPr="00626E8B">
        <w:rPr>
          <w:rFonts w:ascii="Arial" w:hAnsi="Arial" w:cs="Arial"/>
          <w:sz w:val="24"/>
          <w:szCs w:val="24"/>
        </w:rPr>
        <w:t xml:space="preserve"> год по    разделам и подразделам функциональной классификации расходов</w:t>
      </w: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475"/>
        <w:gridCol w:w="512"/>
        <w:gridCol w:w="2123"/>
        <w:gridCol w:w="2730"/>
        <w:gridCol w:w="983"/>
      </w:tblGrid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Бюджетное финансирование</w:t>
            </w: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CC433A" w:rsidRPr="00626E8B" w:rsidRDefault="003C5A55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E1D1F" w:rsidRDefault="004547FC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5,8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96,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96,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:rsidR="00CC433A" w:rsidRPr="001A52BC" w:rsidRDefault="001A52B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A52BC" w:rsidRDefault="001A52B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626E8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E1D1F" w:rsidRPr="00626E8B" w:rsidTr="00CC07AF">
        <w:tc>
          <w:tcPr>
            <w:tcW w:w="2747" w:type="dxa"/>
          </w:tcPr>
          <w:p w:rsidR="00AE1D1F" w:rsidRPr="00AE1D1F" w:rsidRDefault="00AE1D1F" w:rsidP="00CC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75" w:type="dxa"/>
          </w:tcPr>
          <w:p w:rsidR="00AE1D1F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AE1D1F" w:rsidRPr="00626E8B" w:rsidRDefault="00AE1D1F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123" w:type="dxa"/>
          </w:tcPr>
          <w:p w:rsidR="00AE1D1F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730" w:type="dxa"/>
          </w:tcPr>
          <w:p w:rsidR="00AE1D1F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E1D1F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862490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862490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AE1D1F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AE1D1F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626E8B" w:rsidRDefault="00862490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4547FC" w:rsidP="00454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74776" w:rsidRPr="00626E8B" w:rsidTr="00CC07AF">
        <w:tc>
          <w:tcPr>
            <w:tcW w:w="2747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75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D74776" w:rsidRPr="00626E8B" w:rsidRDefault="00AE1D1F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453,6</w:t>
            </w:r>
          </w:p>
        </w:tc>
        <w:tc>
          <w:tcPr>
            <w:tcW w:w="2730" w:type="dxa"/>
          </w:tcPr>
          <w:p w:rsidR="00D74776" w:rsidRPr="00626E8B" w:rsidRDefault="00D74776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74776" w:rsidRPr="00AE1D1F" w:rsidRDefault="00D74776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3,6</w:t>
            </w:r>
          </w:p>
        </w:tc>
      </w:tr>
    </w:tbl>
    <w:p w:rsidR="00344CF1" w:rsidRPr="00626E8B" w:rsidRDefault="00271971" w:rsidP="00271971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44CF1" w:rsidRPr="00626E8B">
        <w:rPr>
          <w:rFonts w:ascii="Arial" w:hAnsi="Arial" w:cs="Arial"/>
          <w:sz w:val="24"/>
          <w:szCs w:val="24"/>
        </w:rPr>
        <w:t xml:space="preserve">  </w:t>
      </w: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Pr="00626E8B" w:rsidRDefault="00594468" w:rsidP="00952DE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</w:t>
      </w:r>
    </w:p>
    <w:p w:rsidR="00DA3C02" w:rsidRPr="00626E8B" w:rsidRDefault="00DA3C02" w:rsidP="00952DE5">
      <w:pPr>
        <w:jc w:val="both"/>
        <w:rPr>
          <w:rFonts w:ascii="Arial" w:hAnsi="Arial" w:cs="Arial"/>
          <w:sz w:val="24"/>
          <w:szCs w:val="24"/>
        </w:rPr>
      </w:pPr>
    </w:p>
    <w:p w:rsidR="00D64EC2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                 </w:t>
      </w:r>
    </w:p>
    <w:p w:rsidR="00D64EC2" w:rsidRPr="00626E8B" w:rsidRDefault="00D64EC2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DC4057" w:rsidRDefault="00DC4057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DC4057" w:rsidRDefault="00DC4057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DC4057" w:rsidRPr="00DC4057" w:rsidRDefault="00DC4057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7314C9" w:rsidRPr="00C3693B" w:rsidRDefault="007314C9" w:rsidP="007314C9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C3693B">
        <w:rPr>
          <w:rFonts w:ascii="Arial" w:hAnsi="Arial" w:cs="Arial"/>
          <w:sz w:val="24"/>
          <w:szCs w:val="24"/>
          <w:lang w:val="en-US"/>
        </w:rPr>
        <w:t>7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№ </w:t>
      </w:r>
      <w:r w:rsidR="00143751">
        <w:rPr>
          <w:rFonts w:ascii="Arial" w:hAnsi="Arial" w:cs="Arial"/>
          <w:sz w:val="24"/>
          <w:szCs w:val="24"/>
          <w:lang w:val="en-US"/>
        </w:rPr>
        <w:t>1</w:t>
      </w:r>
      <w:r w:rsidRPr="00626E8B">
        <w:rPr>
          <w:rFonts w:ascii="Arial" w:hAnsi="Arial" w:cs="Arial"/>
          <w:sz w:val="24"/>
          <w:szCs w:val="24"/>
          <w:lang w:val="en-US"/>
        </w:rPr>
        <w:t>1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143751">
        <w:rPr>
          <w:rFonts w:ascii="Arial" w:hAnsi="Arial" w:cs="Arial"/>
          <w:sz w:val="24"/>
          <w:szCs w:val="24"/>
        </w:rPr>
        <w:t>01.12.2016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5D5216">
        <w:rPr>
          <w:rFonts w:ascii="Arial" w:hAnsi="Arial" w:cs="Arial"/>
          <w:sz w:val="24"/>
          <w:szCs w:val="24"/>
        </w:rPr>
        <w:t>кого сельского поселения на 2017-2018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496"/>
        <w:gridCol w:w="536"/>
        <w:gridCol w:w="2038"/>
        <w:gridCol w:w="2612"/>
      </w:tblGrid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4525" w:rsidRPr="00974525" w:rsidRDefault="00974525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t>2018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г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7314C9" w:rsidRDefault="00974525" w:rsidP="009F591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314C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314C9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283,1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96,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104,3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038" w:type="dxa"/>
          </w:tcPr>
          <w:p w:rsidR="00974525" w:rsidRPr="007314C9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974525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74525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AE1D1F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126,4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126,4</w:t>
            </w:r>
          </w:p>
        </w:tc>
      </w:tr>
      <w:tr w:rsidR="00974525" w:rsidRPr="00626E8B" w:rsidTr="00974525">
        <w:trPr>
          <w:trHeight w:val="246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7314C9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7314C9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490,9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Pr="00C3693B" w:rsidRDefault="00C3693B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</w:t>
      </w:r>
    </w:p>
    <w:p w:rsidR="0021276F" w:rsidRPr="00C3693B" w:rsidRDefault="0021276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</w:t>
      </w:r>
      <w:r w:rsidR="00C3693B">
        <w:rPr>
          <w:rFonts w:ascii="Arial" w:hAnsi="Arial" w:cs="Arial"/>
          <w:sz w:val="24"/>
          <w:szCs w:val="24"/>
        </w:rPr>
        <w:t xml:space="preserve">  Приложение </w:t>
      </w:r>
      <w:r w:rsidR="00C3693B">
        <w:rPr>
          <w:rFonts w:ascii="Arial" w:hAnsi="Arial" w:cs="Arial"/>
          <w:sz w:val="24"/>
          <w:szCs w:val="24"/>
          <w:lang w:val="en-US"/>
        </w:rPr>
        <w:t>8</w:t>
      </w: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B4B7B" w:rsidRPr="00626E8B">
        <w:rPr>
          <w:rFonts w:ascii="Arial" w:hAnsi="Arial" w:cs="Arial"/>
          <w:sz w:val="24"/>
          <w:szCs w:val="24"/>
        </w:rPr>
        <w:t xml:space="preserve">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</w:t>
      </w:r>
      <w:r w:rsidR="00DB4B7B" w:rsidRPr="00626E8B">
        <w:rPr>
          <w:rFonts w:ascii="Arial" w:hAnsi="Arial" w:cs="Arial"/>
          <w:sz w:val="24"/>
          <w:szCs w:val="24"/>
        </w:rPr>
        <w:t xml:space="preserve">         к</w:t>
      </w:r>
      <w:r w:rsidRPr="00626E8B">
        <w:rPr>
          <w:rFonts w:ascii="Arial" w:hAnsi="Arial" w:cs="Arial"/>
          <w:sz w:val="24"/>
          <w:szCs w:val="24"/>
        </w:rPr>
        <w:t xml:space="preserve"> решению Муравльского сельского</w:t>
      </w: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DB4B7B" w:rsidRPr="00626E8B" w:rsidRDefault="00DB4B7B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47F87" w:rsidRPr="00626E8B">
        <w:rPr>
          <w:rFonts w:ascii="Arial" w:hAnsi="Arial" w:cs="Arial"/>
          <w:sz w:val="24"/>
          <w:szCs w:val="24"/>
        </w:rPr>
        <w:t xml:space="preserve">                     № 1</w:t>
      </w:r>
      <w:r w:rsidR="00F71237" w:rsidRPr="003C5A55">
        <w:rPr>
          <w:rFonts w:ascii="Arial" w:hAnsi="Arial" w:cs="Arial"/>
          <w:sz w:val="24"/>
          <w:szCs w:val="24"/>
        </w:rPr>
        <w:t>1</w:t>
      </w:r>
      <w:r w:rsidR="00D47F87" w:rsidRPr="00626E8B">
        <w:rPr>
          <w:rFonts w:ascii="Arial" w:hAnsi="Arial" w:cs="Arial"/>
          <w:sz w:val="24"/>
          <w:szCs w:val="24"/>
        </w:rPr>
        <w:t xml:space="preserve"> от </w:t>
      </w:r>
      <w:r w:rsidR="00143751">
        <w:rPr>
          <w:rFonts w:ascii="Arial" w:hAnsi="Arial" w:cs="Arial"/>
          <w:sz w:val="24"/>
          <w:szCs w:val="24"/>
        </w:rPr>
        <w:t>01</w:t>
      </w:r>
      <w:r w:rsidR="00D47F87" w:rsidRPr="00626E8B">
        <w:rPr>
          <w:rFonts w:ascii="Arial" w:hAnsi="Arial" w:cs="Arial"/>
          <w:sz w:val="24"/>
          <w:szCs w:val="24"/>
        </w:rPr>
        <w:t xml:space="preserve"> декабря 201</w:t>
      </w:r>
      <w:r w:rsidR="00143751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</w:p>
    <w:p w:rsidR="006435BA" w:rsidRPr="00626E8B" w:rsidRDefault="006435BA" w:rsidP="0070248A">
      <w:pPr>
        <w:jc w:val="center"/>
        <w:rPr>
          <w:rFonts w:ascii="Arial" w:hAnsi="Arial" w:cs="Arial"/>
          <w:sz w:val="24"/>
          <w:szCs w:val="24"/>
        </w:rPr>
      </w:pPr>
    </w:p>
    <w:p w:rsidR="006435BA" w:rsidRPr="003C5A55" w:rsidRDefault="006435BA" w:rsidP="0070248A">
      <w:pPr>
        <w:jc w:val="center"/>
        <w:rPr>
          <w:rFonts w:ascii="Arial" w:hAnsi="Arial" w:cs="Arial"/>
          <w:sz w:val="16"/>
          <w:szCs w:val="16"/>
        </w:rPr>
      </w:pPr>
    </w:p>
    <w:p w:rsidR="0021276F" w:rsidRPr="003C5A55" w:rsidRDefault="0021276F" w:rsidP="0070248A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Распределение ассигнований  из бюдже</w:t>
      </w:r>
      <w:r w:rsidR="003A4508" w:rsidRPr="003C5A55">
        <w:rPr>
          <w:rFonts w:ascii="Arial" w:hAnsi="Arial" w:cs="Arial"/>
          <w:b/>
          <w:sz w:val="16"/>
          <w:szCs w:val="16"/>
        </w:rPr>
        <w:t>т</w:t>
      </w:r>
      <w:r w:rsidRPr="003C5A55">
        <w:rPr>
          <w:rFonts w:ascii="Arial" w:hAnsi="Arial" w:cs="Arial"/>
          <w:b/>
          <w:sz w:val="16"/>
          <w:szCs w:val="16"/>
        </w:rPr>
        <w:t>а Муравльс</w:t>
      </w:r>
      <w:r w:rsidR="00776759" w:rsidRPr="003C5A55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5D5216">
        <w:rPr>
          <w:rFonts w:ascii="Arial" w:hAnsi="Arial" w:cs="Arial"/>
          <w:b/>
          <w:sz w:val="16"/>
          <w:szCs w:val="16"/>
        </w:rPr>
        <w:t>2017</w:t>
      </w:r>
      <w:r w:rsidRPr="003C5A55">
        <w:rPr>
          <w:rFonts w:ascii="Arial" w:hAnsi="Arial" w:cs="Arial"/>
          <w:b/>
          <w:sz w:val="16"/>
          <w:szCs w:val="16"/>
        </w:rPr>
        <w:t xml:space="preserve"> год по разделам,</w:t>
      </w:r>
      <w:r w:rsidR="003C5A55"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21276F" w:rsidRPr="003C5A55" w:rsidRDefault="0021276F" w:rsidP="0021276F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DA3C02" w:rsidRPr="00626E8B" w:rsidRDefault="00DA3C02" w:rsidP="00152927">
      <w:pPr>
        <w:rPr>
          <w:rFonts w:ascii="Arial" w:hAnsi="Arial" w:cs="Arial"/>
          <w:sz w:val="24"/>
          <w:szCs w:val="24"/>
        </w:rPr>
      </w:pPr>
    </w:p>
    <w:p w:rsidR="00DA3C02" w:rsidRPr="00626E8B" w:rsidRDefault="00DA3C02" w:rsidP="00152927">
      <w:pPr>
        <w:rPr>
          <w:rFonts w:ascii="Arial" w:hAnsi="Arial" w:cs="Arial"/>
          <w:sz w:val="24"/>
          <w:szCs w:val="24"/>
        </w:rPr>
      </w:pPr>
    </w:p>
    <w:p w:rsidR="00BC06D3" w:rsidRPr="00BC06D3" w:rsidRDefault="00152927" w:rsidP="00BC06D3">
      <w:pPr>
        <w:tabs>
          <w:tab w:val="left" w:pos="7282"/>
        </w:tabs>
        <w:rPr>
          <w:rFonts w:ascii="Arial" w:hAnsi="Arial" w:cs="Arial"/>
          <w:sz w:val="16"/>
          <w:szCs w:val="16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</w:t>
      </w:r>
    </w:p>
    <w:p w:rsidR="00BC06D3" w:rsidRPr="003C5A55" w:rsidRDefault="00BC06D3" w:rsidP="00BC06D3">
      <w:pPr>
        <w:rPr>
          <w:rFonts w:ascii="Arial" w:hAnsi="Arial" w:cs="Arial"/>
          <w:sz w:val="16"/>
          <w:szCs w:val="16"/>
        </w:rPr>
      </w:pPr>
    </w:p>
    <w:p w:rsidR="00BC06D3" w:rsidRPr="003C5A55" w:rsidRDefault="00BC06D3" w:rsidP="00BC06D3">
      <w:pPr>
        <w:rPr>
          <w:rFonts w:ascii="Arial" w:hAnsi="Arial" w:cs="Arial"/>
          <w:sz w:val="16"/>
          <w:szCs w:val="16"/>
        </w:rPr>
      </w:pPr>
    </w:p>
    <w:tbl>
      <w:tblPr>
        <w:tblW w:w="933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  <w:gridCol w:w="973"/>
      </w:tblGrid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C06D3" w:rsidRPr="003C5A55" w:rsidTr="00BC06D3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C06D3" w:rsidRPr="003C5A55" w:rsidTr="00BC06D3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C06D3" w:rsidRPr="003C5A55" w:rsidTr="00BC06D3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BC06D3" w:rsidRPr="003C5A55" w:rsidTr="00BC06D3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BC06D3" w:rsidRPr="003C5A55" w:rsidTr="00BC06D3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924CDA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BC06D3" w:rsidRPr="003C5A55" w:rsidTr="00BC06D3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06D3" w:rsidRPr="003C5A55" w:rsidTr="00BC06D3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BC06D3" w:rsidRPr="003C5A55" w:rsidTr="00BC06D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BC06D3" w:rsidRPr="003C5A55" w:rsidTr="00BC06D3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BC06D3" w:rsidRPr="003C5A55" w:rsidTr="00BC06D3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BC06D3" w:rsidRPr="003C5A55" w:rsidTr="00BC06D3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DE20CD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BC06D3" w:rsidRPr="003C5A55" w:rsidTr="00BC06D3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3" w:rsidRPr="003C5A55" w:rsidRDefault="00BC06D3" w:rsidP="00BC0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</w:tbl>
    <w:p w:rsidR="003C5A55" w:rsidRDefault="00152927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62305" w:rsidRPr="00626E8B">
        <w:rPr>
          <w:rFonts w:ascii="Arial" w:hAnsi="Arial" w:cs="Arial"/>
          <w:sz w:val="24"/>
          <w:szCs w:val="24"/>
        </w:rPr>
        <w:t xml:space="preserve">                     </w:t>
      </w: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139D9" w:rsidRDefault="00C139D9" w:rsidP="00C139D9">
      <w:pPr>
        <w:rPr>
          <w:rFonts w:ascii="Arial" w:hAnsi="Arial" w:cs="Arial"/>
          <w:sz w:val="24"/>
          <w:szCs w:val="24"/>
        </w:rPr>
      </w:pPr>
    </w:p>
    <w:p w:rsidR="00C3693B" w:rsidRPr="00C139D9" w:rsidRDefault="00C3693B" w:rsidP="00C139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№ 1</w:t>
      </w:r>
      <w:r w:rsidRPr="003C5A55">
        <w:rPr>
          <w:rFonts w:ascii="Arial" w:hAnsi="Arial" w:cs="Arial"/>
          <w:sz w:val="24"/>
          <w:szCs w:val="24"/>
        </w:rPr>
        <w:t>1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C139D9">
        <w:rPr>
          <w:rFonts w:ascii="Arial" w:hAnsi="Arial" w:cs="Arial"/>
          <w:sz w:val="24"/>
          <w:szCs w:val="24"/>
        </w:rPr>
        <w:t>01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="00C139D9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>
        <w:rPr>
          <w:rFonts w:ascii="Arial" w:hAnsi="Arial" w:cs="Arial"/>
          <w:b/>
          <w:sz w:val="16"/>
          <w:szCs w:val="16"/>
        </w:rPr>
        <w:t>201</w:t>
      </w:r>
      <w:r w:rsidRPr="00F5679A">
        <w:rPr>
          <w:rFonts w:ascii="Arial" w:hAnsi="Arial" w:cs="Arial"/>
          <w:b/>
          <w:sz w:val="16"/>
          <w:szCs w:val="16"/>
        </w:rPr>
        <w:t>8-2019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tbl>
      <w:tblPr>
        <w:tblW w:w="835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</w:tblGrid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2019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C3693B" w:rsidRPr="003C5A55" w:rsidTr="00C3693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C3693B" w:rsidRPr="003C5A55" w:rsidTr="00C3693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DE20CD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490,9</w:t>
            </w:r>
          </w:p>
        </w:tc>
      </w:tr>
      <w:tr w:rsidR="00C3693B" w:rsidRPr="003C5A55" w:rsidTr="00C3693B">
        <w:trPr>
          <w:trHeight w:val="1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rPr>
          <w:trHeight w:val="40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rPr>
          <w:trHeight w:val="54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P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C5A55" w:rsidRDefault="003C5A55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71237" w:rsidRPr="00C3693B" w:rsidRDefault="00C3693B" w:rsidP="003C5A55">
      <w:pPr>
        <w:tabs>
          <w:tab w:val="left" w:pos="7455"/>
        </w:tabs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>
        <w:rPr>
          <w:rFonts w:ascii="Arial" w:hAnsi="Arial" w:cs="Arial"/>
          <w:sz w:val="24"/>
          <w:szCs w:val="24"/>
          <w:lang w:val="en-US"/>
        </w:rPr>
        <w:t>10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№ 1</w:t>
      </w:r>
      <w:r w:rsidRPr="00143751">
        <w:rPr>
          <w:rFonts w:ascii="Arial" w:hAnsi="Arial" w:cs="Arial"/>
          <w:sz w:val="24"/>
          <w:szCs w:val="24"/>
        </w:rPr>
        <w:t>1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143751">
        <w:rPr>
          <w:rFonts w:ascii="Arial" w:hAnsi="Arial" w:cs="Arial"/>
          <w:sz w:val="24"/>
          <w:szCs w:val="24"/>
        </w:rPr>
        <w:t>01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="00143751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143751">
        <w:rPr>
          <w:rFonts w:ascii="Arial" w:hAnsi="Arial" w:cs="Arial"/>
          <w:b/>
          <w:sz w:val="16"/>
          <w:szCs w:val="16"/>
        </w:rPr>
        <w:t>кого сельского поселения на 2017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865B9" w:rsidRPr="003C5A55" w:rsidRDefault="00D865B9" w:rsidP="00D865B9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D865B9" w:rsidRPr="003C5A55" w:rsidRDefault="00D865B9" w:rsidP="00D865B9">
      <w:pPr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rPr>
          <w:rFonts w:ascii="Arial" w:hAnsi="Arial" w:cs="Arial"/>
          <w:sz w:val="16"/>
          <w:szCs w:val="16"/>
        </w:rPr>
      </w:pPr>
    </w:p>
    <w:tbl>
      <w:tblPr>
        <w:tblW w:w="987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  <w:gridCol w:w="973"/>
      </w:tblGrid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EA4897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EA4897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EA4897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D865B9" w:rsidRPr="003C5A55" w:rsidTr="00EA4897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D865B9" w:rsidRPr="003C5A55" w:rsidTr="00EA4897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</w:t>
            </w:r>
            <w:r w:rsidR="00924CD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924CDA">
              <w:rPr>
                <w:rFonts w:ascii="Arial" w:hAnsi="Arial" w:cs="Arial"/>
                <w:sz w:val="16"/>
                <w:szCs w:val="16"/>
              </w:rPr>
              <w:t>,</w:t>
            </w:r>
            <w:r w:rsidR="00924CDA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924CDA" w:rsidRDefault="00924CDA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D865B9" w:rsidRPr="003C5A55" w:rsidTr="00EA4897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865B9"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865B9"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F4084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DE20CD" w:rsidRDefault="00DE20CD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AF4084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E20CD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DE20CD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A0BCE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Pr="003C5A55" w:rsidRDefault="004A509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4A509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4A509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4A509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4A509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</w:t>
            </w:r>
            <w:r w:rsidR="00EA4897">
              <w:rPr>
                <w:rFonts w:ascii="Arial" w:hAnsi="Arial" w:cs="Arial"/>
                <w:sz w:val="16"/>
                <w:szCs w:val="16"/>
              </w:rPr>
              <w:t>8240</w:t>
            </w:r>
            <w:r w:rsidR="00EA4897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E20CD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A0BC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DE20CD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E20CD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DE20CD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E20CD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4A0BCE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DE20CD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D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 w:rsid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865B9"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865B9"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865B9"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865B9"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EA4897" w:rsidRPr="003C5A55" w:rsidTr="00EA4897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7" w:rsidRPr="003C5A55" w:rsidRDefault="00EA4897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</w:tbl>
    <w:p w:rsidR="00C3693B" w:rsidRDefault="00C3693B" w:rsidP="00F5679A">
      <w:pPr>
        <w:jc w:val="right"/>
        <w:rPr>
          <w:rFonts w:ascii="Arial" w:hAnsi="Arial" w:cs="Arial"/>
          <w:sz w:val="16"/>
          <w:szCs w:val="16"/>
        </w:rPr>
      </w:pPr>
    </w:p>
    <w:p w:rsidR="00C139D9" w:rsidRDefault="00C139D9" w:rsidP="00F5679A">
      <w:pPr>
        <w:jc w:val="right"/>
        <w:rPr>
          <w:rFonts w:ascii="Arial" w:hAnsi="Arial" w:cs="Arial"/>
          <w:sz w:val="16"/>
          <w:szCs w:val="16"/>
        </w:rPr>
      </w:pPr>
    </w:p>
    <w:p w:rsidR="00C139D9" w:rsidRDefault="00C139D9" w:rsidP="00F5679A">
      <w:pPr>
        <w:jc w:val="right"/>
        <w:rPr>
          <w:rFonts w:ascii="Arial" w:hAnsi="Arial" w:cs="Arial"/>
          <w:sz w:val="16"/>
          <w:szCs w:val="16"/>
        </w:rPr>
      </w:pPr>
    </w:p>
    <w:p w:rsidR="00C139D9" w:rsidRPr="00C139D9" w:rsidRDefault="00C139D9" w:rsidP="00F5679A">
      <w:pPr>
        <w:jc w:val="right"/>
        <w:rPr>
          <w:rFonts w:ascii="Arial" w:hAnsi="Arial" w:cs="Arial"/>
          <w:sz w:val="16"/>
          <w:szCs w:val="16"/>
        </w:rPr>
      </w:pPr>
    </w:p>
    <w:p w:rsidR="00C3693B" w:rsidRDefault="00C3693B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C3693B" w:rsidRDefault="00C3693B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C3693B" w:rsidRDefault="00C3693B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DC4057" w:rsidRDefault="00DC4057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DC4057" w:rsidRDefault="00DC4057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DC4057" w:rsidRDefault="00DC4057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DC4057" w:rsidRDefault="00DC4057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DC4057" w:rsidRDefault="00DC4057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C3693B" w:rsidRDefault="00C3693B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C3693B" w:rsidRDefault="00C3693B" w:rsidP="00F5679A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8E11D6" w:rsidRDefault="008E11D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247C3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11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№ 1</w:t>
      </w:r>
      <w:r w:rsidRPr="008E11D6">
        <w:rPr>
          <w:rFonts w:ascii="Arial" w:hAnsi="Arial" w:cs="Arial"/>
          <w:sz w:val="24"/>
          <w:szCs w:val="24"/>
        </w:rPr>
        <w:t>1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247C39">
        <w:rPr>
          <w:rFonts w:ascii="Arial" w:hAnsi="Arial" w:cs="Arial"/>
          <w:sz w:val="24"/>
          <w:szCs w:val="24"/>
        </w:rPr>
        <w:t>01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="00247C39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247C39">
        <w:rPr>
          <w:rFonts w:ascii="Arial" w:hAnsi="Arial" w:cs="Arial"/>
          <w:b/>
          <w:sz w:val="16"/>
          <w:szCs w:val="16"/>
        </w:rPr>
        <w:t>кого сельского поселения на 2018-2019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E11D6" w:rsidRPr="003C5A55" w:rsidRDefault="008E11D6" w:rsidP="008E11D6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8E11D6" w:rsidRPr="003C5A55" w:rsidRDefault="008E11D6" w:rsidP="008E11D6">
      <w:pPr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rPr>
          <w:rFonts w:ascii="Arial" w:hAnsi="Arial" w:cs="Arial"/>
          <w:sz w:val="16"/>
          <w:szCs w:val="16"/>
        </w:rPr>
      </w:pPr>
    </w:p>
    <w:tbl>
      <w:tblPr>
        <w:tblW w:w="88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</w:tblGrid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2019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  <w:r w:rsidR="008E11D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государственных(муниципальных)органов и взносы по обязательному социальному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075B9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75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E11D6" w:rsidRPr="003C5A55" w:rsidTr="008477CD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075B9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75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075B9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75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E11D6" w:rsidRPr="003C5A55" w:rsidTr="008477CD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139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DE20CD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Прочая закупка товаров,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</w:t>
            </w:r>
            <w:r w:rsidR="00C139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C139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</w:t>
            </w:r>
            <w:r w:rsidR="00C139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C139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490,9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52F34"/>
    <w:rsid w:val="00055126"/>
    <w:rsid w:val="000570AF"/>
    <w:rsid w:val="00065931"/>
    <w:rsid w:val="00094CC6"/>
    <w:rsid w:val="000A4C2F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43751"/>
    <w:rsid w:val="00151753"/>
    <w:rsid w:val="00152927"/>
    <w:rsid w:val="00196621"/>
    <w:rsid w:val="001A52BC"/>
    <w:rsid w:val="001B2346"/>
    <w:rsid w:val="001B290A"/>
    <w:rsid w:val="001C1769"/>
    <w:rsid w:val="001C7CAA"/>
    <w:rsid w:val="001D740C"/>
    <w:rsid w:val="001E78FF"/>
    <w:rsid w:val="00205CAD"/>
    <w:rsid w:val="00210488"/>
    <w:rsid w:val="0021276F"/>
    <w:rsid w:val="00225B1F"/>
    <w:rsid w:val="00230F86"/>
    <w:rsid w:val="00231B4F"/>
    <w:rsid w:val="00231BE0"/>
    <w:rsid w:val="00247C39"/>
    <w:rsid w:val="00262B97"/>
    <w:rsid w:val="00271971"/>
    <w:rsid w:val="00271F68"/>
    <w:rsid w:val="00295B91"/>
    <w:rsid w:val="00297946"/>
    <w:rsid w:val="002B2ABB"/>
    <w:rsid w:val="002F143E"/>
    <w:rsid w:val="00327BD1"/>
    <w:rsid w:val="00331481"/>
    <w:rsid w:val="00343FEB"/>
    <w:rsid w:val="00344CF1"/>
    <w:rsid w:val="003629EC"/>
    <w:rsid w:val="00381607"/>
    <w:rsid w:val="003857E9"/>
    <w:rsid w:val="00385C02"/>
    <w:rsid w:val="003937FD"/>
    <w:rsid w:val="003A4508"/>
    <w:rsid w:val="003B48B8"/>
    <w:rsid w:val="003C0D08"/>
    <w:rsid w:val="003C5A55"/>
    <w:rsid w:val="003E5412"/>
    <w:rsid w:val="003E590B"/>
    <w:rsid w:val="003F1DBB"/>
    <w:rsid w:val="003F791E"/>
    <w:rsid w:val="004210F8"/>
    <w:rsid w:val="004547FC"/>
    <w:rsid w:val="00456B7E"/>
    <w:rsid w:val="00457CD9"/>
    <w:rsid w:val="00474363"/>
    <w:rsid w:val="004773F1"/>
    <w:rsid w:val="00486875"/>
    <w:rsid w:val="004A0BCE"/>
    <w:rsid w:val="004A5099"/>
    <w:rsid w:val="004B73EB"/>
    <w:rsid w:val="004C5F51"/>
    <w:rsid w:val="004D1E24"/>
    <w:rsid w:val="004E50D7"/>
    <w:rsid w:val="004E562B"/>
    <w:rsid w:val="004E6AB7"/>
    <w:rsid w:val="0051114C"/>
    <w:rsid w:val="00524C7A"/>
    <w:rsid w:val="00537D2D"/>
    <w:rsid w:val="00581D2D"/>
    <w:rsid w:val="00585434"/>
    <w:rsid w:val="00594468"/>
    <w:rsid w:val="00595457"/>
    <w:rsid w:val="005A7C42"/>
    <w:rsid w:val="005D5216"/>
    <w:rsid w:val="005E61D9"/>
    <w:rsid w:val="005F7DC8"/>
    <w:rsid w:val="00626E8B"/>
    <w:rsid w:val="00627EA4"/>
    <w:rsid w:val="00632FC7"/>
    <w:rsid w:val="006435BA"/>
    <w:rsid w:val="0066181A"/>
    <w:rsid w:val="006670CA"/>
    <w:rsid w:val="006829B8"/>
    <w:rsid w:val="00684A4E"/>
    <w:rsid w:val="00685327"/>
    <w:rsid w:val="006A4E5E"/>
    <w:rsid w:val="006B0901"/>
    <w:rsid w:val="006D3861"/>
    <w:rsid w:val="006D507C"/>
    <w:rsid w:val="0070248A"/>
    <w:rsid w:val="007314C9"/>
    <w:rsid w:val="00743C2A"/>
    <w:rsid w:val="00776759"/>
    <w:rsid w:val="007E027A"/>
    <w:rsid w:val="008048D8"/>
    <w:rsid w:val="008075B9"/>
    <w:rsid w:val="00812252"/>
    <w:rsid w:val="00814B79"/>
    <w:rsid w:val="008153AF"/>
    <w:rsid w:val="00816A02"/>
    <w:rsid w:val="0082194A"/>
    <w:rsid w:val="008477CD"/>
    <w:rsid w:val="00862490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17072"/>
    <w:rsid w:val="009208EC"/>
    <w:rsid w:val="00924CDA"/>
    <w:rsid w:val="00930F11"/>
    <w:rsid w:val="00947660"/>
    <w:rsid w:val="00952DE5"/>
    <w:rsid w:val="00974525"/>
    <w:rsid w:val="00976D79"/>
    <w:rsid w:val="0098155E"/>
    <w:rsid w:val="00981968"/>
    <w:rsid w:val="00991C22"/>
    <w:rsid w:val="00992EB3"/>
    <w:rsid w:val="009B0DE5"/>
    <w:rsid w:val="009C07FC"/>
    <w:rsid w:val="009D0E0E"/>
    <w:rsid w:val="009D3354"/>
    <w:rsid w:val="009D5DE4"/>
    <w:rsid w:val="009E5B02"/>
    <w:rsid w:val="009F591D"/>
    <w:rsid w:val="00A102DE"/>
    <w:rsid w:val="00A176E6"/>
    <w:rsid w:val="00A44743"/>
    <w:rsid w:val="00A501D4"/>
    <w:rsid w:val="00A6026D"/>
    <w:rsid w:val="00A61620"/>
    <w:rsid w:val="00A63F8C"/>
    <w:rsid w:val="00A7554A"/>
    <w:rsid w:val="00A768D9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B03D8F"/>
    <w:rsid w:val="00B06AED"/>
    <w:rsid w:val="00B101CB"/>
    <w:rsid w:val="00B13AFE"/>
    <w:rsid w:val="00B27527"/>
    <w:rsid w:val="00B45170"/>
    <w:rsid w:val="00B508EB"/>
    <w:rsid w:val="00B74D8D"/>
    <w:rsid w:val="00B80265"/>
    <w:rsid w:val="00BA57DC"/>
    <w:rsid w:val="00BA7CD2"/>
    <w:rsid w:val="00BB00F1"/>
    <w:rsid w:val="00BB4A61"/>
    <w:rsid w:val="00BC06D3"/>
    <w:rsid w:val="00BC371F"/>
    <w:rsid w:val="00BD3912"/>
    <w:rsid w:val="00BE5EB3"/>
    <w:rsid w:val="00BF4AC1"/>
    <w:rsid w:val="00BF6987"/>
    <w:rsid w:val="00C038E2"/>
    <w:rsid w:val="00C05380"/>
    <w:rsid w:val="00C05A0B"/>
    <w:rsid w:val="00C139D9"/>
    <w:rsid w:val="00C21472"/>
    <w:rsid w:val="00C30547"/>
    <w:rsid w:val="00C33E04"/>
    <w:rsid w:val="00C35B0D"/>
    <w:rsid w:val="00C3693B"/>
    <w:rsid w:val="00C53798"/>
    <w:rsid w:val="00C6211B"/>
    <w:rsid w:val="00C8088D"/>
    <w:rsid w:val="00C86F3D"/>
    <w:rsid w:val="00CB247C"/>
    <w:rsid w:val="00CB6177"/>
    <w:rsid w:val="00CC07AF"/>
    <w:rsid w:val="00CC24E4"/>
    <w:rsid w:val="00CC433A"/>
    <w:rsid w:val="00CC5AA1"/>
    <w:rsid w:val="00CD5D38"/>
    <w:rsid w:val="00D02B5E"/>
    <w:rsid w:val="00D235E2"/>
    <w:rsid w:val="00D40469"/>
    <w:rsid w:val="00D47F87"/>
    <w:rsid w:val="00D5272C"/>
    <w:rsid w:val="00D5371E"/>
    <w:rsid w:val="00D541C4"/>
    <w:rsid w:val="00D64EC2"/>
    <w:rsid w:val="00D74776"/>
    <w:rsid w:val="00D865B9"/>
    <w:rsid w:val="00D86697"/>
    <w:rsid w:val="00D96959"/>
    <w:rsid w:val="00DA047C"/>
    <w:rsid w:val="00DA3C02"/>
    <w:rsid w:val="00DA3FBB"/>
    <w:rsid w:val="00DB1E70"/>
    <w:rsid w:val="00DB4B7B"/>
    <w:rsid w:val="00DB4BF5"/>
    <w:rsid w:val="00DC27DC"/>
    <w:rsid w:val="00DC4057"/>
    <w:rsid w:val="00DC6D6E"/>
    <w:rsid w:val="00DE20CD"/>
    <w:rsid w:val="00DE34EE"/>
    <w:rsid w:val="00E03366"/>
    <w:rsid w:val="00E056F1"/>
    <w:rsid w:val="00E15842"/>
    <w:rsid w:val="00E4284D"/>
    <w:rsid w:val="00E52A6E"/>
    <w:rsid w:val="00E53516"/>
    <w:rsid w:val="00E64357"/>
    <w:rsid w:val="00E66F6C"/>
    <w:rsid w:val="00E866A4"/>
    <w:rsid w:val="00E91667"/>
    <w:rsid w:val="00E9484E"/>
    <w:rsid w:val="00EA4897"/>
    <w:rsid w:val="00EA6C43"/>
    <w:rsid w:val="00ED1BE4"/>
    <w:rsid w:val="00F0398A"/>
    <w:rsid w:val="00F063C0"/>
    <w:rsid w:val="00F12336"/>
    <w:rsid w:val="00F17FBD"/>
    <w:rsid w:val="00F5679A"/>
    <w:rsid w:val="00F60463"/>
    <w:rsid w:val="00F62305"/>
    <w:rsid w:val="00F71237"/>
    <w:rsid w:val="00F77AE4"/>
    <w:rsid w:val="00F91201"/>
    <w:rsid w:val="00F9573C"/>
    <w:rsid w:val="00F96837"/>
    <w:rsid w:val="00FB4EE4"/>
    <w:rsid w:val="00FE116C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11102</Words>
  <Characters>63285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2016-12-12T10:29:00Z</cp:lastPrinted>
  <dcterms:created xsi:type="dcterms:W3CDTF">2016-12-12T10:33:00Z</dcterms:created>
  <dcterms:modified xsi:type="dcterms:W3CDTF">2016-12-12T10:33:00Z</dcterms:modified>
</cp:coreProperties>
</file>