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45" w:rsidRDefault="004C1245" w:rsidP="004C1245">
      <w:pPr>
        <w:rPr>
          <w:sz w:val="28"/>
          <w:szCs w:val="28"/>
        </w:rPr>
      </w:pP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01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01">
        <w:rPr>
          <w:rFonts w:ascii="Times New Roman" w:hAnsi="Times New Roman" w:cs="Times New Roman"/>
          <w:b/>
          <w:bCs/>
          <w:sz w:val="28"/>
          <w:szCs w:val="28"/>
        </w:rPr>
        <w:t>ОРЛОВСКАЯ  ОБЛАСТЬ</w:t>
      </w: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01">
        <w:rPr>
          <w:rFonts w:ascii="Times New Roman" w:hAnsi="Times New Roman" w:cs="Times New Roman"/>
          <w:b/>
          <w:bCs/>
          <w:sz w:val="28"/>
          <w:szCs w:val="28"/>
        </w:rPr>
        <w:t>ТРОСНЯНСКИЙ  РАЙОН</w:t>
      </w: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01">
        <w:rPr>
          <w:rFonts w:ascii="Times New Roman" w:hAnsi="Times New Roman" w:cs="Times New Roman"/>
          <w:b/>
          <w:bCs/>
          <w:sz w:val="28"/>
          <w:szCs w:val="28"/>
        </w:rPr>
        <w:t>ЛОМОВЕЦКИЙ  СЕЛЬСКИЙ СОВЕТ  НАРОДНЫХ  ДЕПУТАТОВ</w:t>
      </w: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45" w:rsidRPr="00302B01" w:rsidRDefault="004C1245" w:rsidP="004C1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B0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C1245" w:rsidRPr="009F3978" w:rsidRDefault="004C1245" w:rsidP="004C12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1"/>
          <w:sz w:val="28"/>
          <w:szCs w:val="28"/>
        </w:rPr>
        <w:t xml:space="preserve">                      </w:t>
      </w:r>
    </w:p>
    <w:p w:rsidR="004C1245" w:rsidRPr="009F3978" w:rsidRDefault="004C1245" w:rsidP="004C124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4C1245" w:rsidRDefault="004C1245" w:rsidP="004C124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«31»декабря  2013 г.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ab/>
        <w:t xml:space="preserve">                                    </w:t>
      </w:r>
      <w:r w:rsidRPr="009F3978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                           № </w:t>
      </w: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102</w:t>
      </w:r>
    </w:p>
    <w:p w:rsidR="004C1245" w:rsidRPr="009F3978" w:rsidRDefault="004C1245" w:rsidP="004C1245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с. Ломовец</w:t>
      </w:r>
    </w:p>
    <w:p w:rsidR="004C1245" w:rsidRPr="009F3978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D6F">
        <w:rPr>
          <w:rFonts w:ascii="Times New Roman" w:hAnsi="Times New Roman" w:cs="Times New Roman"/>
          <w:b/>
          <w:bCs/>
          <w:sz w:val="28"/>
          <w:szCs w:val="28"/>
        </w:rPr>
        <w:t xml:space="preserve">Об определении гарантирующей </w:t>
      </w:r>
    </w:p>
    <w:p w:rsidR="004C1245" w:rsidRDefault="004C1245" w:rsidP="004C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D6F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для централизованной </w:t>
      </w:r>
    </w:p>
    <w:p w:rsidR="004C1245" w:rsidRDefault="004C1245" w:rsidP="004C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F5D6F">
        <w:rPr>
          <w:rFonts w:ascii="Times New Roman" w:hAnsi="Times New Roman" w:cs="Times New Roman"/>
          <w:b/>
          <w:bCs/>
          <w:sz w:val="28"/>
          <w:szCs w:val="28"/>
        </w:rPr>
        <w:t xml:space="preserve">системы холодного водоснабжения и  </w:t>
      </w:r>
    </w:p>
    <w:p w:rsidR="004C1245" w:rsidRPr="009F3978" w:rsidRDefault="004C1245" w:rsidP="004C12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5D6F">
        <w:rPr>
          <w:rFonts w:ascii="Times New Roman" w:hAnsi="Times New Roman" w:cs="Times New Roman"/>
          <w:b/>
          <w:bCs/>
          <w:sz w:val="28"/>
          <w:szCs w:val="28"/>
        </w:rPr>
        <w:t xml:space="preserve">водоотведения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Ломовецкого</w:t>
      </w:r>
      <w:r w:rsidRPr="009F5D6F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4C1245" w:rsidRPr="009F3978" w:rsidRDefault="004C1245" w:rsidP="004C1245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со статьей 14, </w:t>
      </w:r>
      <w:r w:rsidRPr="009F3978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9F3978">
        <w:rPr>
          <w:rFonts w:ascii="Times New Roman" w:hAnsi="Times New Roman" w:cs="Times New Roman"/>
          <w:sz w:val="28"/>
          <w:szCs w:val="28"/>
        </w:rPr>
        <w:t xml:space="preserve"> 35 Федерального Закона от 06.10.2003 г. №131-Ф3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F3978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9F3978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F3978">
        <w:rPr>
          <w:rFonts w:ascii="Times New Roman" w:hAnsi="Times New Roman" w:cs="Times New Roman"/>
          <w:sz w:val="28"/>
          <w:szCs w:val="28"/>
        </w:rPr>
        <w:t xml:space="preserve"> 2 части 1 статьи 6 и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3978">
        <w:rPr>
          <w:rFonts w:ascii="Times New Roman" w:hAnsi="Times New Roman" w:cs="Times New Roman"/>
          <w:sz w:val="28"/>
          <w:szCs w:val="28"/>
        </w:rPr>
        <w:t xml:space="preserve"> 12 Федерального закона Российской Федерации от 07.12.2011 г. №</w:t>
      </w:r>
      <w:r>
        <w:rPr>
          <w:rFonts w:ascii="Times New Roman" w:hAnsi="Times New Roman" w:cs="Times New Roman"/>
          <w:sz w:val="28"/>
          <w:szCs w:val="28"/>
        </w:rPr>
        <w:t xml:space="preserve"> 416-ФЗ "</w:t>
      </w:r>
      <w:r w:rsidRPr="009F3978">
        <w:rPr>
          <w:rFonts w:ascii="Times New Roman" w:hAnsi="Times New Roman" w:cs="Times New Roman"/>
          <w:sz w:val="28"/>
          <w:szCs w:val="28"/>
        </w:rPr>
        <w:t xml:space="preserve">О водоснабжении и водоотведения", </w:t>
      </w:r>
      <w:r>
        <w:rPr>
          <w:rFonts w:ascii="Times New Roman" w:hAnsi="Times New Roman" w:cs="Times New Roman"/>
          <w:sz w:val="28"/>
          <w:szCs w:val="28"/>
        </w:rPr>
        <w:t xml:space="preserve">Уставом Ломовецкого сельского поселения, Ломовецкий  сельский  Совет  народных депутатов   </w:t>
      </w:r>
      <w:r w:rsidRPr="009F3978">
        <w:rPr>
          <w:rFonts w:ascii="Times New Roman" w:hAnsi="Times New Roman" w:cs="Times New Roman"/>
          <w:sz w:val="28"/>
          <w:szCs w:val="28"/>
        </w:rPr>
        <w:t>РЕШИЛ:</w:t>
      </w:r>
    </w:p>
    <w:p w:rsidR="004C1245" w:rsidRPr="009F3978" w:rsidRDefault="004C1245" w:rsidP="004C124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F3978">
        <w:rPr>
          <w:rFonts w:ascii="Times New Roman" w:hAnsi="Times New Roman" w:cs="Times New Roman"/>
          <w:sz w:val="28"/>
          <w:szCs w:val="28"/>
        </w:rPr>
        <w:t>1. Определить гарантирующей организацией для централизованных систем холодного водоснабжения</w:t>
      </w:r>
      <w:r w:rsidRPr="00C10335">
        <w:rPr>
          <w:rFonts w:ascii="Times New Roman" w:hAnsi="Times New Roman" w:cs="Times New Roman"/>
          <w:sz w:val="28"/>
          <w:szCs w:val="28"/>
        </w:rPr>
        <w:t xml:space="preserve"> </w:t>
      </w:r>
      <w:r w:rsidRPr="00F06A44">
        <w:rPr>
          <w:rFonts w:ascii="Times New Roman" w:hAnsi="Times New Roman" w:cs="Times New Roman"/>
          <w:sz w:val="28"/>
          <w:szCs w:val="28"/>
        </w:rPr>
        <w:t>и 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Ломовецкого </w:t>
      </w:r>
      <w:r w:rsidRPr="009F39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9F3978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Pr="009F3978">
        <w:rPr>
          <w:rFonts w:ascii="Times New Roman" w:hAnsi="Times New Roman" w:cs="Times New Roman"/>
          <w:sz w:val="28"/>
          <w:szCs w:val="28"/>
        </w:rPr>
        <w:t xml:space="preserve">Муниципальное унитарное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r w:rsidRPr="009F3978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9F3978">
        <w:rPr>
          <w:rFonts w:ascii="Times New Roman" w:hAnsi="Times New Roman" w:cs="Times New Roman"/>
          <w:sz w:val="28"/>
          <w:szCs w:val="28"/>
        </w:rPr>
        <w:t xml:space="preserve"> (ОГРН </w:t>
      </w:r>
      <w:r>
        <w:rPr>
          <w:rFonts w:ascii="Times New Roman" w:hAnsi="Times New Roman" w:cs="Times New Roman"/>
          <w:sz w:val="28"/>
          <w:szCs w:val="28"/>
        </w:rPr>
        <w:t>1025701259100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ИНН </w:t>
      </w:r>
      <w:r>
        <w:rPr>
          <w:rFonts w:ascii="Times New Roman" w:hAnsi="Times New Roman" w:cs="Times New Roman"/>
          <w:sz w:val="28"/>
          <w:szCs w:val="28"/>
        </w:rPr>
        <w:t>5724001583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КПП </w:t>
      </w:r>
      <w:r>
        <w:rPr>
          <w:rFonts w:ascii="Times New Roman" w:hAnsi="Times New Roman" w:cs="Times New Roman"/>
          <w:sz w:val="28"/>
          <w:szCs w:val="28"/>
        </w:rPr>
        <w:t>572401001), адрес места нахождения</w:t>
      </w:r>
      <w:r w:rsidRPr="009F397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303450,</w:t>
      </w: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Орловская область, Троснянский район, с.Тросна, Промзона</w:t>
      </w:r>
      <w:r w:rsidRPr="009F3978">
        <w:rPr>
          <w:rFonts w:ascii="Times New Roman" w:hAnsi="Times New Roman" w:cs="Times New Roman"/>
          <w:sz w:val="28"/>
          <w:szCs w:val="28"/>
        </w:rPr>
        <w:t>.</w:t>
      </w:r>
    </w:p>
    <w:p w:rsidR="004C1245" w:rsidRDefault="004C1245" w:rsidP="004C1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F3978">
        <w:rPr>
          <w:rFonts w:ascii="Times New Roman" w:hAnsi="Times New Roman" w:cs="Times New Roman"/>
          <w:sz w:val="28"/>
          <w:szCs w:val="28"/>
        </w:rPr>
        <w:t>2. Установить зоной деятельности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978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жилищно-коммунального предприятия Троснянского района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наделенного статусом гарантирующего поставщика по осуществлению холодного водоснабжения </w:t>
      </w:r>
      <w:r w:rsidRPr="00F06A4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A44">
        <w:rPr>
          <w:rFonts w:ascii="Times New Roman" w:hAnsi="Times New Roman" w:cs="Times New Roman"/>
          <w:sz w:val="28"/>
          <w:szCs w:val="28"/>
        </w:rPr>
        <w:t>водоотведени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F3978">
        <w:rPr>
          <w:rFonts w:ascii="Times New Roman" w:hAnsi="Times New Roman" w:cs="Times New Roman"/>
          <w:sz w:val="28"/>
          <w:szCs w:val="28"/>
        </w:rPr>
        <w:t xml:space="preserve">, эксплуатации водопроводных </w:t>
      </w:r>
      <w:r>
        <w:rPr>
          <w:rFonts w:ascii="Times New Roman" w:hAnsi="Times New Roman" w:cs="Times New Roman"/>
          <w:sz w:val="28"/>
          <w:szCs w:val="28"/>
        </w:rPr>
        <w:t>сетей Ломовецкого</w:t>
      </w:r>
      <w:r w:rsidRPr="009F3978">
        <w:rPr>
          <w:rFonts w:ascii="Times New Roman" w:hAnsi="Times New Roman" w:cs="Times New Roman"/>
          <w:sz w:val="28"/>
          <w:szCs w:val="28"/>
        </w:rPr>
        <w:t xml:space="preserve"> сельского поселения — территорию   </w:t>
      </w:r>
      <w:r>
        <w:rPr>
          <w:rFonts w:ascii="Times New Roman" w:hAnsi="Times New Roman" w:cs="Times New Roman"/>
          <w:sz w:val="28"/>
          <w:szCs w:val="28"/>
        </w:rPr>
        <w:t xml:space="preserve">Ломовецкого сельского поселения </w:t>
      </w:r>
      <w:r w:rsidRPr="009F3978">
        <w:rPr>
          <w:rFonts w:ascii="Times New Roman" w:hAnsi="Times New Roman" w:cs="Times New Roman"/>
          <w:sz w:val="28"/>
          <w:szCs w:val="28"/>
        </w:rPr>
        <w:t>обслуживаемую централизованными системами водоснабжения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A44">
        <w:rPr>
          <w:rFonts w:ascii="Times New Roman" w:hAnsi="Times New Roman" w:cs="Times New Roman"/>
          <w:sz w:val="28"/>
          <w:szCs w:val="28"/>
        </w:rPr>
        <w:t>и  водоотведения</w:t>
      </w:r>
      <w:r w:rsidRPr="009F3978">
        <w:rPr>
          <w:rFonts w:ascii="Times New Roman" w:hAnsi="Times New Roman" w:cs="Times New Roman"/>
          <w:sz w:val="28"/>
          <w:szCs w:val="28"/>
        </w:rPr>
        <w:t>.</w:t>
      </w:r>
    </w:p>
    <w:p w:rsidR="004C1245" w:rsidRDefault="004C1245" w:rsidP="004C1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Pr="009F3978">
        <w:rPr>
          <w:rFonts w:ascii="Times New Roman" w:hAnsi="Times New Roman" w:cs="Times New Roman"/>
          <w:sz w:val="28"/>
          <w:szCs w:val="28"/>
        </w:rPr>
        <w:t xml:space="preserve">. Муниципальное унитарное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жилищно-коммунальное </w:t>
      </w:r>
      <w:r w:rsidRPr="009F3978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9F3978">
        <w:rPr>
          <w:rFonts w:ascii="Times New Roman" w:hAnsi="Times New Roman" w:cs="Times New Roman"/>
          <w:sz w:val="28"/>
          <w:szCs w:val="28"/>
        </w:rPr>
        <w:t xml:space="preserve">, наделенное настоящим Решением статусом гарантирующего поставщика, обязано обеспечить холодное водоснабжение </w:t>
      </w:r>
      <w:r>
        <w:rPr>
          <w:rFonts w:ascii="Times New Roman" w:hAnsi="Times New Roman" w:cs="Times New Roman"/>
          <w:sz w:val="28"/>
          <w:szCs w:val="28"/>
        </w:rPr>
        <w:t xml:space="preserve"> и водоотведение</w:t>
      </w:r>
      <w:r w:rsidRPr="009F3978">
        <w:rPr>
          <w:rFonts w:ascii="Times New Roman" w:hAnsi="Times New Roman" w:cs="Times New Roman"/>
          <w:sz w:val="28"/>
          <w:szCs w:val="28"/>
        </w:rPr>
        <w:t xml:space="preserve">  в случае, если объекты капитального строительства абонентов присоединены в установленном законом порядке к централизованной системе холодного водоснабжения </w:t>
      </w:r>
      <w:r>
        <w:rPr>
          <w:rFonts w:ascii="Times New Roman" w:hAnsi="Times New Roman" w:cs="Times New Roman"/>
          <w:sz w:val="28"/>
          <w:szCs w:val="28"/>
        </w:rPr>
        <w:t>и водоотведения</w:t>
      </w:r>
      <w:r w:rsidRPr="009F3978">
        <w:rPr>
          <w:rFonts w:ascii="Times New Roman" w:hAnsi="Times New Roman" w:cs="Times New Roman"/>
          <w:sz w:val="28"/>
          <w:szCs w:val="28"/>
        </w:rPr>
        <w:t xml:space="preserve"> в пределах зоны деятельности установленной пунктом 2 настоящего Решения.</w:t>
      </w:r>
    </w:p>
    <w:p w:rsidR="004C1245" w:rsidRDefault="004C1245" w:rsidP="004C1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9F3978">
        <w:rPr>
          <w:rFonts w:ascii="Times New Roman" w:hAnsi="Times New Roman" w:cs="Times New Roman"/>
          <w:sz w:val="28"/>
          <w:szCs w:val="28"/>
        </w:rPr>
        <w:t>. Настоящее Решение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со дня его обнародования.</w:t>
      </w:r>
    </w:p>
    <w:p w:rsidR="004C1245" w:rsidRPr="009F3978" w:rsidRDefault="004C1245" w:rsidP="004C12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5.  Настоящее  Решение </w:t>
      </w:r>
      <w:r w:rsidRPr="009F3978">
        <w:rPr>
          <w:rFonts w:ascii="Times New Roman" w:hAnsi="Times New Roman" w:cs="Times New Roman"/>
          <w:sz w:val="28"/>
          <w:szCs w:val="28"/>
        </w:rPr>
        <w:t xml:space="preserve"> в течение трех дней со дня его принятия направ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9F3978">
        <w:rPr>
          <w:rFonts w:ascii="Times New Roman" w:hAnsi="Times New Roman" w:cs="Times New Roman"/>
          <w:sz w:val="28"/>
          <w:szCs w:val="28"/>
        </w:rPr>
        <w:t xml:space="preserve"> в адрес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9F3978">
        <w:rPr>
          <w:rFonts w:ascii="Times New Roman" w:hAnsi="Times New Roman" w:cs="Times New Roman"/>
          <w:sz w:val="28"/>
          <w:szCs w:val="28"/>
        </w:rPr>
        <w:t xml:space="preserve"> унитарно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F3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Pr="009F3978">
        <w:rPr>
          <w:rFonts w:ascii="Times New Roman" w:hAnsi="Times New Roman" w:cs="Times New Roman"/>
          <w:sz w:val="28"/>
          <w:szCs w:val="28"/>
        </w:rPr>
        <w:t>предприятие</w:t>
      </w:r>
      <w:r>
        <w:rPr>
          <w:rFonts w:ascii="Times New Roman" w:hAnsi="Times New Roman" w:cs="Times New Roman"/>
          <w:sz w:val="28"/>
          <w:szCs w:val="28"/>
        </w:rPr>
        <w:t xml:space="preserve"> Троснянского района</w:t>
      </w:r>
      <w:r w:rsidRPr="009F3978">
        <w:rPr>
          <w:rFonts w:ascii="Times New Roman" w:hAnsi="Times New Roman" w:cs="Times New Roman"/>
          <w:sz w:val="28"/>
          <w:szCs w:val="28"/>
        </w:rPr>
        <w:t>.</w:t>
      </w: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4AB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Ломовецкого</w:t>
      </w:r>
    </w:p>
    <w:p w:rsidR="004C1245" w:rsidRPr="00EC14AB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14AB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C14AB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Pr="00EC14A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А.В. Канаев</w:t>
      </w:r>
    </w:p>
    <w:p w:rsidR="004C1245" w:rsidRPr="00EC14AB" w:rsidRDefault="004C1245" w:rsidP="004C124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9F3978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Default="004C1245" w:rsidP="004C1245">
      <w:pPr>
        <w:rPr>
          <w:rFonts w:ascii="Times New Roman" w:hAnsi="Times New Roman" w:cs="Times New Roman"/>
          <w:sz w:val="28"/>
          <w:szCs w:val="28"/>
        </w:rPr>
      </w:pPr>
    </w:p>
    <w:p w:rsidR="004C1245" w:rsidRPr="0033031C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031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C1245" w:rsidRPr="0033031C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031C">
        <w:rPr>
          <w:rFonts w:ascii="Times New Roman" w:hAnsi="Times New Roman" w:cs="Times New Roman"/>
          <w:sz w:val="24"/>
          <w:szCs w:val="24"/>
        </w:rPr>
        <w:t>к решению</w:t>
      </w:r>
      <w:r>
        <w:rPr>
          <w:rFonts w:ascii="Times New Roman" w:hAnsi="Times New Roman" w:cs="Times New Roman"/>
          <w:sz w:val="24"/>
          <w:szCs w:val="24"/>
        </w:rPr>
        <w:t xml:space="preserve"> Ломовецкого</w:t>
      </w:r>
      <w:r w:rsidRPr="0033031C">
        <w:rPr>
          <w:rFonts w:ascii="Times New Roman" w:hAnsi="Times New Roman" w:cs="Times New Roman"/>
          <w:sz w:val="24"/>
          <w:szCs w:val="24"/>
        </w:rPr>
        <w:t xml:space="preserve"> сельского</w:t>
      </w:r>
    </w:p>
    <w:p w:rsidR="004C1245" w:rsidRPr="0033031C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33031C">
        <w:rPr>
          <w:rFonts w:ascii="Times New Roman" w:hAnsi="Times New Roman" w:cs="Times New Roman"/>
          <w:sz w:val="24"/>
          <w:szCs w:val="24"/>
        </w:rPr>
        <w:t>овета народных депутатов</w:t>
      </w:r>
    </w:p>
    <w:p w:rsidR="004C1245" w:rsidRPr="0033031C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3031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«31» 12.2013 г. № 102</w:t>
      </w:r>
    </w:p>
    <w:p w:rsidR="004C1245" w:rsidRDefault="004C1245" w:rsidP="004C124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4C1245" w:rsidRPr="00080647" w:rsidTr="004A70CF">
        <w:trPr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8920"/>
              <w:gridCol w:w="435"/>
            </w:tblGrid>
            <w:tr w:rsidR="004C1245" w:rsidRPr="00080647" w:rsidTr="004A70CF">
              <w:trPr>
                <w:tblCellSpacing w:w="0" w:type="dxa"/>
              </w:trPr>
              <w:tc>
                <w:tcPr>
                  <w:tcW w:w="5000" w:type="pct"/>
                </w:tcPr>
                <w:p w:rsidR="004C1245" w:rsidRPr="00080647" w:rsidRDefault="004C1245" w:rsidP="004A70CF">
                  <w:pPr>
                    <w:spacing w:before="100" w:beforeAutospacing="1" w:after="100" w:afterAutospacing="1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ПОЯСНИТЕЛЬНАЯ ЗАПИСКА</w:t>
                  </w: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</w:r>
                </w:p>
                <w:p w:rsidR="004C1245" w:rsidRPr="00080647" w:rsidRDefault="004C1245" w:rsidP="004A70CF">
                  <w:pPr>
                    <w:spacing w:before="100" w:beforeAutospacing="1" w:after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Ломовецкого сельского Совета народных депутатов "Об определении гарантирующей организации для централизованной системы холодного водоснабжения Ломовецкого  сельского поселения» Троснянского района Орловской области.</w:t>
                  </w:r>
                </w:p>
                <w:p w:rsidR="004C1245" w:rsidRPr="00080647" w:rsidRDefault="004C1245" w:rsidP="004A70CF">
                  <w:pPr>
                    <w:spacing w:before="100" w:beforeAutospacing="1"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07 декабря 2011 года издан Федеральный закон Российской Федерации № 416-ФЗ "О водоснабжении и водоотведении", который регулирует отношения в сфере водоснабжения и водоотведения.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Согласно: пункта 2 части 1 статьи 6 Федерального закона Российской Федерации от 07 декабря 2011 года № 416-ФЗ "О водоснабжении и водоотведении" к полномочиям органов местного самоуправления в сфере водоснабжения и водоотведения, помимо организации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обязательств, относится определение для централизованной системы холодного водоснабжения и (или) водоотведения поселения, городского округа гарантирующей организации.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Согласно части 1 статьи 12 Федерального закона Российской Федерации от 07 декабря 2011 года № 416-ФЗ "О водоснабжении и водоотведении", органы местного самоуправления для каждой централизованной системы холодного водоснабжения и водоотведения определяют гарантирующую организацию и устанавливают зоны ее деятельности.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Согласно части 2 статьи 12 Федерального закона Российской Федерации от 07 декабря 2011 года № 416-ФЗ "О водоснабжении и водоотведении", статусом гарантирующей организации наделяется организация, осуществляющая холодное водоснабжение и водоотведение и эксплуатирующая водопроводные и канализационные сети, если к 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водопроводным и канализационным сетям этой организации присоединено наибольшее количество абонентов из всех организаций, осуществляющих холодное водоснабжение и водоотведение.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Муниципальное унитарное жилищно-коммунальное предприятие Троснянского района является единственной организацией, осуществляющей холодное водоснабжение, эксплуатацию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централизованных водопроводных </w:t>
                  </w: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сетей на территории Ломовецкого  сельского поселения Троснянского района Орловской области, поэтому, согласно положений, установленных ч.2 ст. 12 Федерального закона Российской Федерации от 07 декабря 2011 года №416-ФЗ "О водоснабжении и водоотведении", статусом гарантирующей организации может быть наделено только Муниципальное унитарное жилищно-коммунальное предприятие Троснянского района.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Согласно части 3 статьи 12 Федерального закона Российской Федерации от 07 декабря 2011 года № 416-ФЗ "О водоснабжении и водоотведении", решение органа местного самоуправления о наделении организации, осуществляющей холодное водоснабжение и водоотведение, статусом гарантирующей организации с указанием зоны ее деятельности в течение трех дней со дня его принятия направляется указанной организации и размещается на официальном сайте такого органа в сети "Интернет" (в случае отсутствия указанного сайта на официальном сайте субъекта Российской Федерации в сети "Интернет").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64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Согласно части 4 статьи 12 Федерального закона Российской Федерации от 07 декабря 2011 года № 416-ФЗ "О водоснабжении и водоотведении", гарантирующая организация обязана обеспечить холодное водоснабжение и водоотведение в случае, если объекты капитального строительства абонентов присоединены в установленном порядке к централизованной системе холодного водоснабжения и водоотведения в пределах зоны деятельности такой гарантирующей организации.</w:t>
                  </w:r>
                </w:p>
                <w:p w:rsidR="004C1245" w:rsidRPr="00080647" w:rsidRDefault="004C1245" w:rsidP="004A70CF">
                  <w:pPr>
                    <w:spacing w:before="100" w:beforeAutospacing="1" w:after="100" w:afterAutospacing="1"/>
                    <w:jc w:val="both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5" w:type="dxa"/>
                  <w:vAlign w:val="center"/>
                </w:tcPr>
                <w:p w:rsidR="004C1245" w:rsidRPr="00080647" w:rsidRDefault="004C1245" w:rsidP="004A70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drawing>
                      <wp:inline distT="0" distB="0" distL="0" distR="0">
                        <wp:extent cx="276225" cy="9525"/>
                        <wp:effectExtent l="0" t="0" r="0" b="0"/>
                        <wp:docPr id="1" name="Рисунок 11" descr="Описание: http://www.oboyan.org/images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http://www.oboyan.org/images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C1245" w:rsidRPr="00080647" w:rsidTr="004A70CF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</w:tcPr>
                <w:p w:rsidR="004C1245" w:rsidRPr="00080647" w:rsidRDefault="004C1245" w:rsidP="004A70CF">
                  <w:pPr>
                    <w:spacing w:line="15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C1245" w:rsidRPr="00080647" w:rsidRDefault="004C1245" w:rsidP="004A70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1245" w:rsidRPr="00080647" w:rsidTr="004A70CF">
        <w:trPr>
          <w:trHeight w:val="120"/>
          <w:tblCellSpacing w:w="0" w:type="dxa"/>
        </w:trPr>
        <w:tc>
          <w:tcPr>
            <w:tcW w:w="0" w:type="auto"/>
            <w:vAlign w:val="center"/>
          </w:tcPr>
          <w:p w:rsidR="004C1245" w:rsidRPr="00080647" w:rsidRDefault="004C1245" w:rsidP="004A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>
                  <wp:extent cx="9525" cy="76200"/>
                  <wp:effectExtent l="0" t="0" r="0" b="0"/>
                  <wp:docPr id="2" name="Рисунок 9" descr="Описание: http://www.oboyan.org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Описание: http://www.oboyan.org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0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Глава Ломовецкого</w:t>
            </w:r>
          </w:p>
          <w:p w:rsidR="004C1245" w:rsidRPr="00080647" w:rsidRDefault="004C1245" w:rsidP="004A70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06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                                                       А.В.Канаев</w:t>
            </w:r>
          </w:p>
          <w:p w:rsidR="004C1245" w:rsidRPr="00080647" w:rsidRDefault="004C1245" w:rsidP="004A70CF">
            <w:pPr>
              <w:spacing w:line="120" w:lineRule="atLeast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C1245" w:rsidRPr="009F3978" w:rsidRDefault="004C1245" w:rsidP="004C12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2691" w:rsidRDefault="00B72691"/>
    <w:sectPr w:rsidR="00B72691" w:rsidSect="004E25B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1245"/>
    <w:rsid w:val="00155E85"/>
    <w:rsid w:val="002C4FC1"/>
    <w:rsid w:val="002D0233"/>
    <w:rsid w:val="00442A90"/>
    <w:rsid w:val="004B4C98"/>
    <w:rsid w:val="004C1245"/>
    <w:rsid w:val="00541B9B"/>
    <w:rsid w:val="005F67ED"/>
    <w:rsid w:val="007C3B26"/>
    <w:rsid w:val="007E7087"/>
    <w:rsid w:val="009C1800"/>
    <w:rsid w:val="009D4321"/>
    <w:rsid w:val="00A41772"/>
    <w:rsid w:val="00A9027D"/>
    <w:rsid w:val="00B35C06"/>
    <w:rsid w:val="00B72691"/>
    <w:rsid w:val="00D5500D"/>
    <w:rsid w:val="00E472EE"/>
    <w:rsid w:val="00F31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4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24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5399</Characters>
  <Application>Microsoft Office Word</Application>
  <DocSecurity>0</DocSecurity>
  <Lines>44</Lines>
  <Paragraphs>12</Paragraphs>
  <ScaleCrop>false</ScaleCrop>
  <Company>Microsoft</Company>
  <LinksUpToDate>false</LinksUpToDate>
  <CharactersWithSpaces>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2014-01-31T06:23:00Z</dcterms:created>
  <dcterms:modified xsi:type="dcterms:W3CDTF">2014-01-31T06:23:00Z</dcterms:modified>
</cp:coreProperties>
</file>