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8D55B7" w:rsidRPr="009F3AE1">
        <w:rPr>
          <w:rFonts w:ascii="Arial" w:hAnsi="Arial" w:cs="Arial"/>
          <w:b/>
          <w:sz w:val="24"/>
          <w:szCs w:val="24"/>
          <w:u w:val="single"/>
        </w:rPr>
        <w:t>МАЛАХОВО-СЛОБОДСКОГО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3AE1">
        <w:rPr>
          <w:rFonts w:ascii="Arial" w:hAnsi="Arial" w:cs="Arial"/>
          <w:sz w:val="24"/>
          <w:szCs w:val="24"/>
        </w:rPr>
        <w:t>4</w:t>
      </w:r>
      <w:r w:rsidR="001F28F7">
        <w:rPr>
          <w:rFonts w:ascii="Arial" w:hAnsi="Arial" w:cs="Arial"/>
          <w:sz w:val="24"/>
          <w:szCs w:val="24"/>
        </w:rPr>
        <w:t xml:space="preserve"> </w:t>
      </w:r>
      <w:r w:rsidR="00965003">
        <w:rPr>
          <w:rFonts w:ascii="Arial" w:hAnsi="Arial" w:cs="Arial"/>
          <w:sz w:val="24"/>
          <w:szCs w:val="24"/>
        </w:rPr>
        <w:t>сентября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 w:rsidR="00E879E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AE1" w:rsidRDefault="009F3AE1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ED237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 w:rsidR="008D55B7">
        <w:rPr>
          <w:rFonts w:ascii="Arial" w:hAnsi="Arial" w:cs="Arial"/>
          <w:sz w:val="24"/>
          <w:szCs w:val="24"/>
        </w:rPr>
        <w:t>.К</w:t>
      </w:r>
      <w:proofErr w:type="gramEnd"/>
      <w:r w:rsidR="008D55B7">
        <w:rPr>
          <w:rFonts w:ascii="Arial" w:hAnsi="Arial" w:cs="Arial"/>
          <w:sz w:val="24"/>
          <w:szCs w:val="24"/>
        </w:rPr>
        <w:t>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726529">
        <w:rPr>
          <w:rFonts w:ascii="Arial" w:hAnsi="Arial" w:cs="Arial"/>
          <w:sz w:val="24"/>
          <w:szCs w:val="24"/>
        </w:rPr>
        <w:t>7б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 w:rsidR="00726529">
        <w:rPr>
          <w:rFonts w:ascii="Arial" w:hAnsi="Arial" w:cs="Arial"/>
          <w:sz w:val="24"/>
          <w:szCs w:val="24"/>
        </w:rPr>
        <w:t>.04.2015 № 7б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10082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402"/>
      </w:tblGrid>
      <w:tr w:rsidR="00FE5945" w:rsidRPr="007650B4" w:rsidTr="00ED2372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К постановлению №</w:t>
            </w:r>
            <w:r w:rsidR="00E879E2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="00965003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от 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9F3AE1">
              <w:rPr>
                <w:rFonts w:ascii="Arial CYR" w:hAnsi="Arial CYR" w:cs="Arial CYR"/>
                <w:color w:val="000000"/>
                <w:sz w:val="20"/>
              </w:rPr>
              <w:t>4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.0</w:t>
            </w:r>
            <w:r w:rsidR="00965003">
              <w:rPr>
                <w:rFonts w:ascii="Arial CYR" w:hAnsi="Arial CYR" w:cs="Arial CYR"/>
                <w:color w:val="000000"/>
                <w:sz w:val="20"/>
              </w:rPr>
              <w:t>9</w:t>
            </w:r>
            <w:r w:rsidR="00ED2372">
              <w:rPr>
                <w:rFonts w:ascii="Arial CYR" w:hAnsi="Arial CYR" w:cs="Arial CYR"/>
                <w:color w:val="000000"/>
                <w:sz w:val="20"/>
              </w:rPr>
              <w:t>.</w:t>
            </w:r>
            <w:r>
              <w:rPr>
                <w:rFonts w:ascii="Arial CYR" w:hAnsi="Arial CYR" w:cs="Arial CYR"/>
                <w:color w:val="000000"/>
                <w:sz w:val="20"/>
              </w:rPr>
              <w:t>2015г.</w:t>
            </w: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ED2372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ED2372">
        <w:trPr>
          <w:trHeight w:val="255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65003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1088300,00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107300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65003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92 100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965003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200,00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65003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2241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224100,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173500,00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149900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ED23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600,00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41600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18600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F3AE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FE5945" w:rsidRPr="007650B4" w:rsidTr="00ED2372">
        <w:trPr>
          <w:trHeight w:val="52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0 000,00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331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ED2372" w:rsidP="009F3AE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</w:t>
            </w:r>
            <w:r w:rsidR="009F3AE1"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9F3AE1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341400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408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132000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40362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E5945" w:rsidRPr="007650B4" w:rsidTr="006C5AA0">
        <w:trPr>
          <w:trHeight w:val="898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89998</w:t>
            </w:r>
            <w:r w:rsidR="00FE5945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6C5AA0" w:rsidRPr="007650B4" w:rsidTr="006C5AA0">
        <w:trPr>
          <w:trHeight w:val="55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5AA0" w:rsidRPr="007650B4" w:rsidRDefault="006C5AA0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Увеличение стоимости материальных запасов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C5AA0" w:rsidRPr="007650B4" w:rsidRDefault="006C5AA0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C5AA0" w:rsidRDefault="006C5AA0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1640,00</w:t>
            </w:r>
          </w:p>
        </w:tc>
      </w:tr>
      <w:tr w:rsidR="00FE5945" w:rsidRPr="007650B4" w:rsidTr="00ED2372">
        <w:trPr>
          <w:trHeight w:val="255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ED2372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ED2372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9650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9650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9650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ED2372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6C5AA0" w:rsidP="009650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1088300</w:t>
            </w:r>
            <w:r w:rsidR="00ED237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315221"/>
    <w:rsid w:val="00322953"/>
    <w:rsid w:val="003654A4"/>
    <w:rsid w:val="003709E2"/>
    <w:rsid w:val="003D067C"/>
    <w:rsid w:val="003F4465"/>
    <w:rsid w:val="00416E06"/>
    <w:rsid w:val="00417335"/>
    <w:rsid w:val="00425BFD"/>
    <w:rsid w:val="004635BE"/>
    <w:rsid w:val="0047391A"/>
    <w:rsid w:val="00474363"/>
    <w:rsid w:val="00474423"/>
    <w:rsid w:val="004902FF"/>
    <w:rsid w:val="004B604A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C5AA0"/>
    <w:rsid w:val="006D507C"/>
    <w:rsid w:val="007005DB"/>
    <w:rsid w:val="00714113"/>
    <w:rsid w:val="00726529"/>
    <w:rsid w:val="00737B1E"/>
    <w:rsid w:val="00741C78"/>
    <w:rsid w:val="00771F99"/>
    <w:rsid w:val="00786F2E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D31D1"/>
    <w:rsid w:val="008D55B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879E2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4</cp:revision>
  <cp:lastPrinted>2015-06-08T12:32:00Z</cp:lastPrinted>
  <dcterms:created xsi:type="dcterms:W3CDTF">2015-09-16T10:30:00Z</dcterms:created>
  <dcterms:modified xsi:type="dcterms:W3CDTF">2015-09-17T13:15:00Z</dcterms:modified>
</cp:coreProperties>
</file>