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91" w:rsidRDefault="00565C91" w:rsidP="00565C91">
      <w:pPr>
        <w:widowControl w:val="0"/>
        <w:autoSpaceDE w:val="0"/>
        <w:autoSpaceDN w:val="0"/>
        <w:adjustRightInd w:val="0"/>
        <w:spacing w:after="0" w:line="240" w:lineRule="auto"/>
        <w:jc w:val="right"/>
        <w:rPr>
          <w:rFonts w:ascii="Times New Roman" w:hAnsi="Times New Roman"/>
          <w:sz w:val="24"/>
          <w:szCs w:val="24"/>
        </w:rPr>
      </w:pPr>
    </w:p>
    <w:p w:rsidR="00565C91" w:rsidRDefault="00565C91" w:rsidP="00565C91">
      <w:pPr>
        <w:widowControl w:val="0"/>
        <w:autoSpaceDE w:val="0"/>
        <w:autoSpaceDN w:val="0"/>
        <w:adjustRightInd w:val="0"/>
        <w:spacing w:after="0" w:line="240" w:lineRule="auto"/>
        <w:jc w:val="right"/>
        <w:rPr>
          <w:rFonts w:ascii="Times New Roman" w:hAnsi="Times New Roman"/>
          <w:sz w:val="24"/>
          <w:szCs w:val="24"/>
        </w:rPr>
      </w:pPr>
    </w:p>
    <w:p w:rsidR="00AA3FB1" w:rsidRDefault="00AA3FB1" w:rsidP="00AA3FB1">
      <w:pPr>
        <w:shd w:val="clear" w:color="auto" w:fill="FFFFFF"/>
        <w:spacing w:after="0" w:line="240" w:lineRule="auto"/>
        <w:jc w:val="center"/>
        <w:rPr>
          <w:rFonts w:ascii="Times New Roman" w:eastAsia="Times New Roman" w:hAnsi="Times New Roman"/>
          <w:b/>
          <w:color w:val="000000"/>
          <w:sz w:val="28"/>
          <w:szCs w:val="28"/>
        </w:rPr>
      </w:pPr>
      <w:bookmarkStart w:id="0" w:name="_GoBack"/>
      <w:bookmarkEnd w:id="0"/>
      <w:r w:rsidRPr="00144437">
        <w:rPr>
          <w:rFonts w:ascii="Times New Roman" w:eastAsia="Times New Roman" w:hAnsi="Times New Roman"/>
          <w:b/>
          <w:color w:val="000000"/>
          <w:sz w:val="28"/>
          <w:szCs w:val="28"/>
        </w:rPr>
        <w:t xml:space="preserve">Ключевые показатели </w:t>
      </w:r>
    </w:p>
    <w:p w:rsidR="00AA3FB1" w:rsidRPr="00527DC5" w:rsidRDefault="00AA3FB1" w:rsidP="00AA3FB1">
      <w:pPr>
        <w:pStyle w:val="a3"/>
        <w:spacing w:before="0" w:beforeAutospacing="0" w:after="0" w:afterAutospacing="0"/>
        <w:jc w:val="both"/>
        <w:rPr>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AA3FB1" w:rsidRDefault="00AA3FB1" w:rsidP="00AA3FB1">
      <w:pPr>
        <w:widowControl w:val="0"/>
        <w:spacing w:after="0" w:line="240" w:lineRule="auto"/>
        <w:ind w:firstLine="567"/>
        <w:jc w:val="both"/>
        <w:rPr>
          <w:rFonts w:ascii="Times New Roman" w:hAnsi="Times New Roman"/>
          <w:iCs/>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мониторинг</w:t>
      </w:r>
      <w:r w:rsidRPr="00D03D64">
        <w:rPr>
          <w:rFonts w:ascii="Times New Roman" w:hAnsi="Times New Roman"/>
          <w:sz w:val="28"/>
          <w:szCs w:val="28"/>
        </w:rPr>
        <w:t xml:space="preserve"> </w:t>
      </w:r>
      <w:r>
        <w:rPr>
          <w:rFonts w:ascii="Times New Roman" w:hAnsi="Times New Roman"/>
          <w:sz w:val="28"/>
          <w:szCs w:val="28"/>
        </w:rPr>
        <w:t>сообщений о возможных нарушениях юридическими лицами, индивидуальными предпринимателями правил благоустройства территории муниципального образования;</w:t>
      </w:r>
    </w:p>
    <w:p w:rsidR="00AA3FB1" w:rsidRPr="00D03D64"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доля вовлечения жителей муниципального образования в систему управления развития территории – 90%;</w:t>
      </w:r>
    </w:p>
    <w:p w:rsidR="00AA3FB1" w:rsidRDefault="00AA3FB1" w:rsidP="00AA3FB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доля устраненных нарушений из числа выявленных нарушений в сфере благоустройства – 90%. </w:t>
      </w:r>
    </w:p>
    <w:p w:rsidR="00AA3FB1" w:rsidRDefault="00AA3FB1" w:rsidP="00AA3FB1">
      <w:pPr>
        <w:spacing w:after="0"/>
        <w:jc w:val="center"/>
        <w:rPr>
          <w:rFonts w:ascii="Times New Roman" w:hAnsi="Times New Roman"/>
          <w:b/>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Индикативные показатели</w:t>
      </w:r>
    </w:p>
    <w:p w:rsidR="00AA3FB1" w:rsidRPr="00A7012C" w:rsidRDefault="00AA3FB1" w:rsidP="00AA3FB1">
      <w:pPr>
        <w:spacing w:after="0"/>
        <w:rPr>
          <w:rFonts w:ascii="Times New Roman" w:hAnsi="Times New Roman"/>
          <w:b/>
          <w:sz w:val="28"/>
          <w:szCs w:val="28"/>
        </w:rPr>
      </w:pPr>
    </w:p>
    <w:p w:rsidR="00AA3FB1" w:rsidRPr="00527DC5" w:rsidRDefault="00AA3FB1" w:rsidP="00AA3FB1">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3</w:t>
      </w:r>
      <w:r w:rsidRPr="00527DC5">
        <w:rPr>
          <w:sz w:val="28"/>
          <w:szCs w:val="28"/>
        </w:rPr>
        <w:t>) количество контрольных (надзорных) мероприятий с вз</w:t>
      </w:r>
      <w:r>
        <w:rPr>
          <w:sz w:val="28"/>
          <w:szCs w:val="28"/>
        </w:rPr>
        <w:t>аимодействием по каждому виду КНМ</w:t>
      </w:r>
      <w:r w:rsidRPr="00527DC5">
        <w:rPr>
          <w:sz w:val="28"/>
          <w:szCs w:val="28"/>
        </w:rPr>
        <w:t>, проведенных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lastRenderedPageBreak/>
        <w:tab/>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12</w:t>
      </w:r>
      <w:r w:rsidRPr="00527DC5">
        <w:rPr>
          <w:sz w:val="28"/>
          <w:szCs w:val="28"/>
        </w:rPr>
        <w:t>) общее количество учтенных объектов контроля на конец отчетного периода;</w:t>
      </w:r>
    </w:p>
    <w:p w:rsidR="00AA3FB1" w:rsidRPr="00527DC5" w:rsidRDefault="00AA3FB1" w:rsidP="00AA3FB1">
      <w:pPr>
        <w:pStyle w:val="a3"/>
        <w:spacing w:before="0" w:beforeAutospacing="0" w:after="0" w:afterAutospacing="0"/>
        <w:jc w:val="both"/>
        <w:rPr>
          <w:sz w:val="28"/>
          <w:szCs w:val="28"/>
        </w:rPr>
      </w:pPr>
      <w:r>
        <w:rPr>
          <w:sz w:val="28"/>
          <w:szCs w:val="28"/>
        </w:rPr>
        <w:tab/>
        <w:t>13</w:t>
      </w:r>
      <w:r w:rsidRPr="00527DC5">
        <w:rPr>
          <w:sz w:val="28"/>
          <w:szCs w:val="28"/>
        </w:rPr>
        <w:t>) количество учтенных контролируемых лиц на конец отчетного периода;</w:t>
      </w:r>
    </w:p>
    <w:p w:rsidR="00AA3FB1" w:rsidRPr="00527DC5" w:rsidRDefault="00AA3FB1" w:rsidP="00AA3FB1">
      <w:pPr>
        <w:pStyle w:val="a3"/>
        <w:spacing w:before="0" w:beforeAutospacing="0" w:after="0" w:afterAutospacing="0"/>
        <w:jc w:val="both"/>
        <w:rPr>
          <w:sz w:val="28"/>
          <w:szCs w:val="28"/>
        </w:rPr>
      </w:pPr>
      <w:r>
        <w:rPr>
          <w:sz w:val="28"/>
          <w:szCs w:val="28"/>
        </w:rPr>
        <w:tab/>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17</w:t>
      </w:r>
      <w:r w:rsidRPr="00527DC5">
        <w:rPr>
          <w:sz w:val="28"/>
          <w:szCs w:val="28"/>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20</w:t>
      </w:r>
      <w:r w:rsidRPr="00527DC5">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30446A" w:rsidRDefault="0030446A" w:rsidP="00AA3FB1">
      <w:pPr>
        <w:spacing w:after="0"/>
        <w:jc w:val="center"/>
      </w:pPr>
    </w:p>
    <w:sectPr w:rsidR="0030446A" w:rsidSect="00307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65C91"/>
    <w:rsid w:val="002973C1"/>
    <w:rsid w:val="0030446A"/>
    <w:rsid w:val="003070FF"/>
    <w:rsid w:val="003E1369"/>
    <w:rsid w:val="00565C91"/>
    <w:rsid w:val="007A2BF8"/>
    <w:rsid w:val="00AA3FB1"/>
    <w:rsid w:val="00B4424C"/>
    <w:rsid w:val="00CB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91"/>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65C91"/>
    <w:rPr>
      <w:rFonts w:ascii="Times New Roman" w:hAnsi="Times New Roman" w:cs="Times New Roman" w:hint="default"/>
    </w:rPr>
  </w:style>
  <w:style w:type="paragraph" w:styleId="a3">
    <w:name w:val="Normal (Web)"/>
    <w:basedOn w:val="a"/>
    <w:rsid w:val="00AA3F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58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Company>SPecialiST RePack</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Никольское</cp:lastModifiedBy>
  <cp:revision>2</cp:revision>
  <dcterms:created xsi:type="dcterms:W3CDTF">2023-04-28T10:34:00Z</dcterms:created>
  <dcterms:modified xsi:type="dcterms:W3CDTF">2023-04-28T10:34:00Z</dcterms:modified>
</cp:coreProperties>
</file>