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F" w:rsidRDefault="0004742F" w:rsidP="00215B60">
      <w:pPr>
        <w:jc w:val="right"/>
        <w:rPr>
          <w:rFonts w:ascii="Times New Roman" w:hAnsi="Times New Roman" w:cs="Times New Roman"/>
          <w:b/>
          <w:sz w:val="28"/>
        </w:rPr>
      </w:pPr>
    </w:p>
    <w:p w:rsidR="0004742F" w:rsidRPr="002316A4" w:rsidRDefault="0004742F" w:rsidP="000474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строительства и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Контрольно-надзорная деятельность»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4742F" w:rsidRPr="00B301A4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04742F" w:rsidRPr="0004742F" w:rsidRDefault="0004742F" w:rsidP="000474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trosnr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spellStart"/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 w:rsidRPr="0004742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 на 2022 год </w:t>
      </w:r>
    </w:p>
    <w:p w:rsidR="0004742F" w:rsidRDefault="0004742F" w:rsidP="00047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42F" w:rsidRPr="002316A4" w:rsidRDefault="0004742F" w:rsidP="00047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4742F" w:rsidRDefault="0004742F" w:rsidP="0004742F">
      <w:pPr>
        <w:jc w:val="both"/>
        <w:rPr>
          <w:rFonts w:ascii="Times New Roman" w:hAnsi="Times New Roman" w:cs="Times New Roman"/>
          <w:b/>
          <w:sz w:val="28"/>
        </w:rPr>
      </w:pPr>
    </w:p>
    <w:p w:rsidR="00215B60" w:rsidRPr="00215B60" w:rsidRDefault="00215B60" w:rsidP="00215B60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</w:p>
    <w:p w:rsidR="00023B12" w:rsidRPr="007D389C" w:rsidRDefault="00023B12" w:rsidP="00023B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D3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A92">
        <w:rPr>
          <w:rFonts w:ascii="Times New Roman" w:hAnsi="Times New Roman" w:cs="Times New Roman"/>
          <w:b/>
          <w:sz w:val="28"/>
          <w:szCs w:val="28"/>
        </w:rPr>
        <w:t>АДМИНИСРАЦИЯ ТРОСНЯНСКОГО РАЙОНА</w:t>
      </w:r>
    </w:p>
    <w:p w:rsidR="00023B12" w:rsidRPr="007D389C" w:rsidRDefault="00023B12" w:rsidP="00023B12">
      <w:pPr>
        <w:spacing w:after="0"/>
        <w:jc w:val="center"/>
        <w:rPr>
          <w:rFonts w:ascii="Times New Roman" w:hAnsi="Times New Roman" w:cs="Times New Roman"/>
          <w:b/>
          <w:i/>
          <w:sz w:val="10"/>
        </w:rPr>
      </w:pPr>
    </w:p>
    <w:p w:rsidR="008E658A" w:rsidRPr="008E658A" w:rsidRDefault="008A2A92" w:rsidP="008E658A">
      <w:pPr>
        <w:pStyle w:val="1"/>
        <w:jc w:val="center"/>
        <w:rPr>
          <w:color w:val="000000" w:themeColor="text1"/>
        </w:rPr>
      </w:pPr>
      <w:r w:rsidRPr="00215B60">
        <w:rPr>
          <w:color w:val="000000" w:themeColor="text1"/>
        </w:rPr>
        <w:t>ПОСТАНОВЛЕНИЕ</w:t>
      </w:r>
    </w:p>
    <w:p w:rsidR="00023B12" w:rsidRPr="008E658A" w:rsidRDefault="008A2A9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>______________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2021 года                                </w:t>
      </w:r>
      <w:r w:rsidR="00215B60" w:rsidRPr="008E6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</w:t>
      </w:r>
      <w:r w:rsidR="008E6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B12" w:rsidRPr="008E658A">
        <w:rPr>
          <w:rFonts w:ascii="Times New Roman" w:hAnsi="Times New Roman" w:cs="Times New Roman"/>
          <w:sz w:val="24"/>
          <w:szCs w:val="24"/>
        </w:rPr>
        <w:t xml:space="preserve">   № </w:t>
      </w:r>
      <w:r w:rsidRPr="008E658A">
        <w:rPr>
          <w:rFonts w:ascii="Times New Roman" w:hAnsi="Times New Roman" w:cs="Times New Roman"/>
          <w:sz w:val="24"/>
          <w:szCs w:val="24"/>
        </w:rPr>
        <w:t>____</w:t>
      </w:r>
    </w:p>
    <w:p w:rsidR="00023B12" w:rsidRPr="008E658A" w:rsidRDefault="00023B12" w:rsidP="0002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E658A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</w:p>
    <w:p w:rsidR="00023B12" w:rsidRPr="008E658A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8A2A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6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2A92">
        <w:rPr>
          <w:rFonts w:ascii="Times New Roman" w:hAnsi="Times New Roman" w:cs="Times New Roman"/>
          <w:sz w:val="28"/>
          <w:szCs w:val="28"/>
        </w:rPr>
        <w:t>программы профилактики рисков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ценностям в рамках муниципального контроля 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автомобильном</w:t>
      </w:r>
      <w:proofErr w:type="gramEnd"/>
      <w:r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</w:p>
    <w:p w:rsidR="008A2A92" w:rsidRDefault="008A2A92" w:rsidP="008A2A92">
      <w:pPr>
        <w:pStyle w:val="ConsPlusNormal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8A2A92" w:rsidRPr="008A2A92" w:rsidRDefault="008A2A92" w:rsidP="008A2A9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2022 год </w:t>
      </w:r>
    </w:p>
    <w:p w:rsidR="00023B12" w:rsidRPr="00D4165D" w:rsidRDefault="00023B12" w:rsidP="00023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B12" w:rsidRPr="00A02ACB" w:rsidRDefault="00023B12" w:rsidP="00023B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Российской Федерации», от 08.11.2007 № 257-ФЗ «Об автомобильных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 08.11.2007 № 259-ФЗ «Устав автомобильного транспорта и городского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наземного электрического транспорта», от 31.07.2020 248-ФЗ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02AC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Pr="00D4165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D4165D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="008A2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2A9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A2A92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A2A92" w:rsidRPr="008A2A92" w:rsidRDefault="00023B12" w:rsidP="008A2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6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2A92">
        <w:rPr>
          <w:rFonts w:ascii="Times New Roman" w:hAnsi="Times New Roman" w:cs="Times New Roman"/>
          <w:sz w:val="28"/>
          <w:szCs w:val="28"/>
        </w:rPr>
        <w:t xml:space="preserve"> прилагаемую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 ценностям в рамках муниципального контроля на автомобильном</w:t>
      </w:r>
      <w:r w:rsidR="008A2A92" w:rsidRPr="008A2A92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8A2A92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</w:t>
      </w:r>
      <w:proofErr w:type="gramEnd"/>
    </w:p>
    <w:p w:rsidR="008A2A92" w:rsidRDefault="008A2A92" w:rsidP="008A2A92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городском наземном электрическом </w:t>
      </w:r>
      <w:proofErr w:type="gram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транспорте</w:t>
      </w:r>
      <w:proofErr w:type="gram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и в дорожном хозяйстве </w:t>
      </w:r>
      <w:proofErr w:type="spellStart"/>
      <w:r w:rsidRPr="008A2A92">
        <w:rPr>
          <w:rFonts w:ascii="Times New Roman" w:hAnsi="Times New Roman" w:cs="Times New Roman"/>
          <w:color w:val="010101"/>
          <w:sz w:val="28"/>
          <w:szCs w:val="28"/>
        </w:rPr>
        <w:t>Троснянском</w:t>
      </w:r>
      <w:proofErr w:type="spellEnd"/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8A2A92" w:rsidRDefault="00215B60" w:rsidP="006A46D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="008A2A92"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6A46DA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6A46DA" w:rsidRPr="00E223E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A46DA" w:rsidRPr="00E223EE">
        <w:rPr>
          <w:rFonts w:ascii="Times New Roman" w:hAnsi="Times New Roman"/>
          <w:sz w:val="28"/>
          <w:szCs w:val="28"/>
        </w:rPr>
        <w:t xml:space="preserve"> района</w:t>
      </w:r>
      <w:r w:rsidR="006A46DA">
        <w:rPr>
          <w:rFonts w:ascii="Times New Roman" w:hAnsi="Times New Roman"/>
          <w:sz w:val="28"/>
          <w:szCs w:val="28"/>
        </w:rPr>
        <w:t>.</w:t>
      </w:r>
      <w:r w:rsidR="006A46DA" w:rsidRPr="00E223EE">
        <w:rPr>
          <w:rFonts w:ascii="Times New Roman" w:hAnsi="Times New Roman"/>
          <w:sz w:val="28"/>
          <w:szCs w:val="28"/>
        </w:rPr>
        <w:t xml:space="preserve"> </w:t>
      </w:r>
    </w:p>
    <w:p w:rsidR="008E658A" w:rsidRDefault="008A2A92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 w:rsidR="006A46DA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A2A92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Писареву И.</w:t>
      </w:r>
    </w:p>
    <w:p w:rsidR="00023B12" w:rsidRPr="008E658A" w:rsidRDefault="006A46DA" w:rsidP="008E65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</w:r>
      <w:r w:rsidR="00023B1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023B12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администрации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  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_______________2021 г. №_____</w:t>
      </w: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A46DA" w:rsidRPr="006A46DA" w:rsidRDefault="006A46DA" w:rsidP="006A46D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2613C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93136" w:rsidRPr="00C2613C" w:rsidRDefault="00D93136" w:rsidP="00D931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spellStart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Троснянском</w:t>
      </w:r>
      <w:proofErr w:type="spellEnd"/>
      <w:r w:rsidR="00C2613C"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районе </w:t>
      </w:r>
      <w:r w:rsidRPr="00C261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D93136" w:rsidRPr="006A46DA" w:rsidRDefault="00D93136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 w:rsid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8E65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D93136" w:rsidRPr="006A46DA" w:rsidRDefault="006A46DA" w:rsidP="00F10BA5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D93136" w:rsidRPr="006A46DA" w:rsidRDefault="00F10BA5" w:rsidP="00F10BA5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proofErr w:type="gramStart"/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ицах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 - автомобильные дороги), в том числе при реконструкции, капитальном ремонте</w:t>
      </w:r>
      <w:proofErr w:type="gramEnd"/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gramStart"/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proofErr w:type="spellStart"/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 w:rsidR="00F10BA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2.4. Подконтрольные субъекты: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93136" w:rsidRPr="00F10BA5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E658A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Администрацией</w:t>
      </w:r>
      <w:r w:rsidRP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Троснянском</w:t>
      </w:r>
      <w:proofErr w:type="spellEnd"/>
      <w:r w:rsidR="00F10BA5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районе: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42DB8" w:rsidRPr="006A46DA" w:rsidRDefault="00242DB8" w:rsidP="00F10BA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93136" w:rsidRPr="00242DB8" w:rsidRDefault="00D93136" w:rsidP="00F10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2.</w:t>
      </w:r>
      <w:r w:rsidR="008260D9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6</w:t>
      </w: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D93136" w:rsidRPr="006A46DA" w:rsidRDefault="00242DB8" w:rsidP="00242DB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являются: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93136" w:rsidRPr="006A46DA" w:rsidRDefault="00242DB8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proofErr w:type="gramStart"/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3.1. Цели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3.2. Задачи Программы: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 деятельности;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93136" w:rsidRPr="006A46DA" w:rsidRDefault="00242DB8" w:rsidP="00242DB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</w:t>
      </w:r>
      <w:r w:rsidR="009611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42D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%.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3136" w:rsidRPr="00242DB8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2DB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93136" w:rsidRPr="006A46DA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A46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93136" w:rsidRPr="00B841B4" w:rsidRDefault="00D93136" w:rsidP="00D93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D93136" w:rsidRPr="00B841B4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</w:pP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Перечень должностных лиц </w:t>
      </w:r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Администрации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Троснянском</w:t>
      </w:r>
      <w:proofErr w:type="spellEnd"/>
      <w:r w:rsid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 xml:space="preserve"> районе</w:t>
      </w:r>
      <w:r w:rsidRPr="00B841B4">
        <w:rPr>
          <w:rFonts w:ascii="Times New Roman" w:eastAsia="Times New Roman" w:hAnsi="Times New Roman" w:cs="Times New Roman"/>
          <w:b/>
          <w:bCs/>
          <w:i/>
          <w:color w:val="010101"/>
          <w:sz w:val="28"/>
          <w:szCs w:val="28"/>
          <w:lang w:eastAsia="ru-RU"/>
        </w:rPr>
        <w:t> </w:t>
      </w:r>
    </w:p>
    <w:p w:rsidR="00B841B4" w:rsidRPr="00B841B4" w:rsidRDefault="00B841B4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786"/>
        <w:gridCol w:w="3558"/>
        <w:gridCol w:w="1449"/>
      </w:tblGrid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DE0F50" w:rsidRPr="00B841B4" w:rsidTr="00DE0F50">
        <w:tc>
          <w:tcPr>
            <w:tcW w:w="5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E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строительства и ЖКХ 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Троснянского</w:t>
            </w:r>
            <w:proofErr w:type="spellEnd"/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48666)</w:t>
            </w: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21-6-05</w:t>
            </w:r>
          </w:p>
          <w:p w:rsidR="00D93136" w:rsidRPr="00B841B4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841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93136" w:rsidRPr="00B841B4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районе</w:t>
      </w:r>
      <w:r w:rsidR="00D93136" w:rsidRPr="00B841B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</w:t>
      </w:r>
    </w:p>
    <w:p w:rsidR="00D93136" w:rsidRPr="00DE0F50" w:rsidRDefault="00DE0F50" w:rsidP="00D93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D93136" w:rsidRPr="00DE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96118F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6118F" w:rsidRDefault="0096118F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93136" w:rsidRPr="00DE0F50" w:rsidRDefault="00D93136" w:rsidP="00D931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E0F5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E0F50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D93136" w:rsidRDefault="00D93136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</w:t>
      </w:r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тве в </w:t>
      </w:r>
      <w:proofErr w:type="spellStart"/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Троснянском</w:t>
      </w:r>
      <w:proofErr w:type="spellEnd"/>
      <w:r w:rsidR="00DE0F5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районе на 2022 год </w:t>
      </w:r>
    </w:p>
    <w:p w:rsidR="00DE0F50" w:rsidRPr="00DE0F50" w:rsidRDefault="00DE0F50" w:rsidP="00D931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2462"/>
        <w:gridCol w:w="3185"/>
        <w:gridCol w:w="1777"/>
        <w:gridCol w:w="1563"/>
      </w:tblGrid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93136" w:rsidRPr="00DE0F50" w:rsidRDefault="00D93136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E0F50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информационно-телекоммуникационной сети "Интернет" и в иных формах.</w:t>
            </w:r>
          </w:p>
          <w:p w:rsidR="00D93136" w:rsidRPr="00DE0F50" w:rsidRDefault="0079531C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D93136"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DE0F50" w:rsidRPr="00DE0F50" w:rsidRDefault="00DE0F50" w:rsidP="00D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D93136" w:rsidRPr="00DE0F50" w:rsidRDefault="00D93136" w:rsidP="00600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</w:t>
            </w:r>
            <w:r w:rsidR="006008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30 января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года, следующего за </w:t>
            </w:r>
            <w:r w:rsidR="00991422" w:rsidRP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годом обобщения правоприменительной практики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D93136" w:rsidRPr="00DE0F50" w:rsidRDefault="00D93136" w:rsidP="0020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течение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B723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рабочих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</w:t>
            </w:r>
            <w:r w:rsidR="009629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15 рабочих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дней со дня его получения.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онтролируемому лицу 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направляется ответ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5 рабочих дней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79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Консультирование, осуществляется по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следующим вопросам: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93136" w:rsidRPr="00DE0F50" w:rsidRDefault="00D93136" w:rsidP="00944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44F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</w:t>
            </w:r>
            <w:r w:rsidR="00205D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фициальном сайте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proofErr w:type="gramEnd"/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531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3136" w:rsidRPr="00DE0F50" w:rsidTr="00DE0F50">
        <w:tc>
          <w:tcPr>
            <w:tcW w:w="37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D93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18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4FC6" w:rsidRPr="00944FC6" w:rsidRDefault="00D9313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приступающих к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сфере</w:t>
            </w:r>
            <w:r w:rsidR="00944FC6" w:rsidRPr="002F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FC6"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транспорта, городского наземного</w:t>
            </w:r>
          </w:p>
          <w:p w:rsidR="00944FC6" w:rsidRPr="00944FC6" w:rsidRDefault="00944FC6" w:rsidP="0094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транспорта и в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96118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3FFA" w:rsidRPr="00533FFA" w:rsidRDefault="00D93136" w:rsidP="00533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определяется муниципальным инспектором</w:t>
            </w:r>
            <w:r w:rsidR="00533F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3FFA" w:rsidRPr="0053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93136" w:rsidRPr="00DE0F50" w:rsidRDefault="00D93136" w:rsidP="00D93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93136" w:rsidRPr="00DE0F50" w:rsidRDefault="00D93136" w:rsidP="00073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0F5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073A7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D93136" w:rsidRPr="00DE0F50" w:rsidRDefault="00D93136" w:rsidP="00D9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E8" w:rsidRPr="00DE0F50" w:rsidRDefault="00BC05E8">
      <w:pPr>
        <w:rPr>
          <w:rFonts w:ascii="Times New Roman" w:hAnsi="Times New Roman" w:cs="Times New Roman"/>
          <w:sz w:val="24"/>
          <w:szCs w:val="24"/>
        </w:rPr>
      </w:pPr>
    </w:p>
    <w:sectPr w:rsidR="00BC05E8" w:rsidRPr="00DE0F50" w:rsidSect="00B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36"/>
    <w:rsid w:val="00023B12"/>
    <w:rsid w:val="0004742F"/>
    <w:rsid w:val="00073A77"/>
    <w:rsid w:val="00205DB5"/>
    <w:rsid w:val="00215B60"/>
    <w:rsid w:val="00242DB8"/>
    <w:rsid w:val="0040455E"/>
    <w:rsid w:val="00405F8A"/>
    <w:rsid w:val="00533FFA"/>
    <w:rsid w:val="00600837"/>
    <w:rsid w:val="006A46DA"/>
    <w:rsid w:val="0079531C"/>
    <w:rsid w:val="008260D9"/>
    <w:rsid w:val="00870D52"/>
    <w:rsid w:val="008A2A92"/>
    <w:rsid w:val="008E658A"/>
    <w:rsid w:val="00944FC6"/>
    <w:rsid w:val="0096118F"/>
    <w:rsid w:val="00962903"/>
    <w:rsid w:val="00991422"/>
    <w:rsid w:val="00A22827"/>
    <w:rsid w:val="00B72337"/>
    <w:rsid w:val="00B841B4"/>
    <w:rsid w:val="00BC05E8"/>
    <w:rsid w:val="00C2613C"/>
    <w:rsid w:val="00C56A34"/>
    <w:rsid w:val="00D93136"/>
    <w:rsid w:val="00DE0F50"/>
    <w:rsid w:val="00E75F00"/>
    <w:rsid w:val="00F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8"/>
  </w:style>
  <w:style w:type="paragraph" w:styleId="1">
    <w:name w:val="heading 1"/>
    <w:basedOn w:val="a"/>
    <w:next w:val="a"/>
    <w:link w:val="10"/>
    <w:uiPriority w:val="9"/>
    <w:qFormat/>
    <w:rsid w:val="0002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1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23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basedOn w:val="a0"/>
    <w:rsid w:val="00023B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ИКТ</cp:lastModifiedBy>
  <cp:revision>8</cp:revision>
  <dcterms:created xsi:type="dcterms:W3CDTF">2021-09-22T09:24:00Z</dcterms:created>
  <dcterms:modified xsi:type="dcterms:W3CDTF">2021-09-24T13:14:00Z</dcterms:modified>
</cp:coreProperties>
</file>