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5" w:rsidRPr="001C6E05" w:rsidRDefault="00640635" w:rsidP="009420D3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529C" w:rsidRDefault="00FC4952" w:rsidP="009420D3">
      <w:pPr>
        <w:ind w:left="4962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40635" w:rsidRPr="001C6E05">
        <w:rPr>
          <w:rFonts w:ascii="Times New Roman" w:hAnsi="Times New Roman" w:cs="Times New Roman"/>
          <w:sz w:val="28"/>
          <w:szCs w:val="28"/>
        </w:rPr>
        <w:t>риказу финансов</w:t>
      </w:r>
      <w:r w:rsidR="0040529C">
        <w:rPr>
          <w:rFonts w:ascii="Times New Roman" w:hAnsi="Times New Roman" w:cs="Times New Roman"/>
          <w:sz w:val="28"/>
          <w:szCs w:val="28"/>
        </w:rPr>
        <w:t>ого отдела</w:t>
      </w:r>
    </w:p>
    <w:p w:rsidR="00640635" w:rsidRPr="001C6E05" w:rsidRDefault="0040529C" w:rsidP="009420D3">
      <w:pPr>
        <w:ind w:left="4962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="00640635" w:rsidRPr="001C6E0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7B17C8" w:rsidRDefault="00332F17" w:rsidP="009420D3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952">
        <w:rPr>
          <w:rFonts w:ascii="Times New Roman" w:hAnsi="Times New Roman" w:cs="Times New Roman"/>
          <w:sz w:val="28"/>
          <w:szCs w:val="28"/>
        </w:rPr>
        <w:t xml:space="preserve">от </w:t>
      </w:r>
      <w:r w:rsidR="00917B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29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17B56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D368DB">
        <w:rPr>
          <w:rFonts w:ascii="Times New Roman" w:hAnsi="Times New Roman" w:cs="Times New Roman"/>
          <w:sz w:val="28"/>
          <w:szCs w:val="28"/>
        </w:rPr>
        <w:t>_</w:t>
      </w:r>
      <w:r w:rsidR="00640635" w:rsidRPr="001C6E05">
        <w:rPr>
          <w:rFonts w:ascii="Times New Roman" w:hAnsi="Times New Roman" w:cs="Times New Roman"/>
          <w:sz w:val="28"/>
          <w:szCs w:val="28"/>
        </w:rPr>
        <w:t>20</w:t>
      </w:r>
      <w:r w:rsidR="00E83F8A">
        <w:rPr>
          <w:rFonts w:ascii="Times New Roman" w:hAnsi="Times New Roman" w:cs="Times New Roman"/>
          <w:sz w:val="28"/>
          <w:szCs w:val="28"/>
        </w:rPr>
        <w:t>17</w:t>
      </w:r>
      <w:r w:rsidR="00D368DB">
        <w:rPr>
          <w:rFonts w:ascii="Times New Roman" w:hAnsi="Times New Roman" w:cs="Times New Roman"/>
          <w:sz w:val="28"/>
          <w:szCs w:val="28"/>
        </w:rPr>
        <w:t xml:space="preserve"> </w:t>
      </w:r>
      <w:r w:rsidR="00640635" w:rsidRPr="001C6E05">
        <w:rPr>
          <w:rFonts w:ascii="Times New Roman" w:hAnsi="Times New Roman" w:cs="Times New Roman"/>
          <w:sz w:val="28"/>
          <w:szCs w:val="28"/>
        </w:rPr>
        <w:t xml:space="preserve">г. </w:t>
      </w:r>
      <w:r w:rsidR="009420D3">
        <w:rPr>
          <w:rFonts w:ascii="Times New Roman" w:hAnsi="Times New Roman" w:cs="Times New Roman"/>
          <w:sz w:val="28"/>
          <w:szCs w:val="28"/>
        </w:rPr>
        <w:t>№</w:t>
      </w:r>
      <w:r w:rsidR="00640635" w:rsidRPr="001C6E05">
        <w:rPr>
          <w:rFonts w:ascii="Times New Roman" w:hAnsi="Times New Roman" w:cs="Times New Roman"/>
          <w:sz w:val="28"/>
          <w:szCs w:val="28"/>
        </w:rPr>
        <w:t>_</w:t>
      </w:r>
      <w:r w:rsidR="00917B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40635" w:rsidRPr="001C6E05">
        <w:rPr>
          <w:rFonts w:ascii="Times New Roman" w:hAnsi="Times New Roman" w:cs="Times New Roman"/>
          <w:sz w:val="28"/>
          <w:szCs w:val="28"/>
        </w:rPr>
        <w:t>_</w:t>
      </w:r>
    </w:p>
    <w:p w:rsidR="009420D3" w:rsidRDefault="009420D3" w:rsidP="009420D3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20D3" w:rsidRPr="00A80C1B" w:rsidRDefault="009420D3" w:rsidP="009420D3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7C8" w:rsidRPr="00E9304D" w:rsidRDefault="00E4671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7B17C8" w:rsidRPr="00E9304D" w:rsidRDefault="0064063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санкционирования </w:t>
      </w:r>
      <w:proofErr w:type="gramStart"/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денежных обязательств получателей</w:t>
      </w:r>
      <w:r w:rsidR="004052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бюджета</w:t>
      </w:r>
      <w:r w:rsidR="004052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муниципального района</w:t>
      </w:r>
      <w:proofErr w:type="gramEnd"/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источников</w:t>
      </w:r>
      <w:r w:rsidR="004052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финансирования дефицита бюджета</w:t>
      </w:r>
      <w:r w:rsidR="004052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</w:p>
    <w:p w:rsidR="007B17C8" w:rsidRPr="00E9304D" w:rsidRDefault="007B17C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на основании статей 219 и 219.2 Бюджетного кодекса Российской Федерации</w:t>
      </w:r>
      <w:r w:rsidR="005D4016" w:rsidRPr="00E93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188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420D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7A188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6B4663">
        <w:rPr>
          <w:rFonts w:ascii="Times New Roman" w:hAnsi="Times New Roman" w:cs="Times New Roman"/>
          <w:color w:val="000000"/>
          <w:sz w:val="28"/>
          <w:szCs w:val="28"/>
        </w:rPr>
        <w:t>подпункта 6</w:t>
      </w:r>
      <w:r w:rsidR="006B4663" w:rsidRPr="006B4663">
        <w:rPr>
          <w:rFonts w:ascii="Times New Roman" w:hAnsi="Times New Roman" w:cs="Times New Roman"/>
          <w:sz w:val="27"/>
          <w:szCs w:val="27"/>
        </w:rPr>
        <w:t xml:space="preserve"> </w:t>
      </w:r>
      <w:r w:rsidR="006B4663" w:rsidRPr="00245191">
        <w:rPr>
          <w:rFonts w:ascii="Times New Roman" w:hAnsi="Times New Roman" w:cs="Times New Roman"/>
          <w:sz w:val="28"/>
          <w:szCs w:val="28"/>
        </w:rPr>
        <w:t>Положения «О бюджетном процессе в Троснянском муниципальном районе», утвержденным решением Троснянского районного Совета народных депутатов от 25 мая 2015 года № 364</w:t>
      </w:r>
      <w:r w:rsidR="006B4663">
        <w:rPr>
          <w:rFonts w:ascii="Times New Roman" w:hAnsi="Times New Roman" w:cs="Times New Roman"/>
          <w:sz w:val="27"/>
          <w:szCs w:val="27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санкционирования </w:t>
      </w:r>
      <w:r w:rsidR="0064063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821AD6" w:rsidRPr="00E9304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40635" w:rsidRPr="00E9304D">
        <w:rPr>
          <w:rFonts w:ascii="Times New Roman" w:hAnsi="Times New Roman" w:cs="Times New Roman"/>
          <w:color w:val="000000"/>
          <w:sz w:val="28"/>
          <w:szCs w:val="28"/>
        </w:rPr>
        <w:t>едерального казначейства по Орловской области (далее – УФК)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оплаты</w:t>
      </w:r>
      <w:r w:rsidR="005D401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</w:t>
      </w:r>
      <w:r w:rsidR="006B4663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муниципального района</w:t>
      </w:r>
      <w:r w:rsidR="005D401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обязательств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средств бюджета</w:t>
      </w:r>
      <w:r w:rsidR="006B46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 w:rsidR="006B4663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лицевые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счета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открыты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обязательств получатели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администраторы источников финансирования дефицита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их обслуживания Заявку на кассовый расход (код по ведомственному классификатору форм документов (дале</w:t>
      </w:r>
      <w:r w:rsidR="007A1885" w:rsidRPr="00E9304D">
        <w:rPr>
          <w:rFonts w:ascii="Times New Roman" w:hAnsi="Times New Roman" w:cs="Times New Roman"/>
          <w:color w:val="000000"/>
          <w:sz w:val="28"/>
          <w:szCs w:val="28"/>
        </w:rPr>
        <w:t>е - код по КФД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0531801)</w:t>
      </w:r>
      <w:r w:rsidR="009420D3" w:rsidRPr="00E93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Заявку на получение наличных денег (код по КФД 0531802)</w:t>
      </w:r>
      <w:r w:rsidR="009420D3" w:rsidRPr="00E9304D">
        <w:rPr>
          <w:rFonts w:ascii="Times New Roman" w:hAnsi="Times New Roman" w:cs="Times New Roman"/>
          <w:color w:val="000000"/>
          <w:sz w:val="28"/>
          <w:szCs w:val="28"/>
        </w:rPr>
        <w:t>, Заявку на получение денежных средств, перечисляемых на карту (код по КФД</w:t>
      </w:r>
      <w:r w:rsidR="006851E9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0531243)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 w:rsidR="006851E9" w:rsidRPr="00E930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в соответствии с бюджетным законодательством Российской Федерации.</w:t>
      </w:r>
      <w:proofErr w:type="gramEnd"/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администратором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88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и УФК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руководителем </w:t>
      </w:r>
      <w:r w:rsidR="007A188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УФК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работник не позднее</w:t>
      </w:r>
      <w:r w:rsidR="00821AD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2227E2" w:rsidRPr="00E9304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2227E2" w:rsidRPr="00E930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D4016" w:rsidRPr="00E9304D">
        <w:rPr>
          <w:rFonts w:ascii="Times New Roman" w:hAnsi="Times New Roman" w:cs="Times New Roman"/>
          <w:color w:val="000000"/>
          <w:sz w:val="28"/>
          <w:szCs w:val="28"/>
        </w:rPr>
        <w:t>, следующего за</w:t>
      </w:r>
      <w:r w:rsidR="0005556C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5D4016" w:rsidRPr="00E9304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получателем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Заявки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проверяет Заявку на соответствие установленной форме, наличи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ней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показателей Заявки указанным в ней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 в соответствии с условиями пункта 6 настоящего Порядка и соответствующим требованиям, установленным пунктами 10 - 13 настоящего Порядка.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руководителем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для открытия соответствующего лицевого счета.</w:t>
      </w:r>
      <w:proofErr w:type="gramEnd"/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7B17C8" w:rsidRPr="00E9304D" w:rsidRDefault="007B17C8" w:rsidP="0072777A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2777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номера соответствующего лицевого счета, открытого получателю средств бюджета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или администратору источника финансирования дефицита бюджета </w:t>
      </w:r>
      <w:r w:rsidR="007154A6">
        <w:rPr>
          <w:rFonts w:ascii="Times New Roman" w:hAnsi="Times New Roman" w:cs="Times New Roman"/>
          <w:color w:val="000000"/>
          <w:sz w:val="28"/>
          <w:szCs w:val="28"/>
        </w:rPr>
        <w:t>Троснянского района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B17C8" w:rsidRPr="00E9304D" w:rsidRDefault="007B17C8" w:rsidP="0072777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 w:rsidR="0072777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 (при наличии)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а также текстового назначения платежа;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</w:t>
      </w:r>
      <w:r w:rsidR="00C107EC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случае, если заявка представлен</w:t>
      </w:r>
      <w:r w:rsidR="00821AD6" w:rsidRPr="00E930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7EC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иностранной валюте)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7B17C8" w:rsidRPr="00E9304D" w:rsidRDefault="00C107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421260" w:rsidRPr="00E9304D" w:rsidRDefault="003141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7) номера учтенного в УФК бюджетного обязательства получателя средств бюджета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наличии);</w:t>
      </w:r>
    </w:p>
    <w:p w:rsidR="007B17C8" w:rsidRPr="00E9304D" w:rsidRDefault="003141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номера и серии чека (при наличном способе оплаты денежного обязательства);</w:t>
      </w:r>
    </w:p>
    <w:p w:rsidR="007B17C8" w:rsidRPr="00E9304D" w:rsidRDefault="003141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срока действия чека (при наличном способе оплаты денежного обязательства);</w:t>
      </w:r>
    </w:p>
    <w:p w:rsidR="007B17C8" w:rsidRPr="00E9304D" w:rsidRDefault="003141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фамилии, имени и отчества получателя средств по чеку (при наличном способе оплаты денежного обязательства);</w:t>
      </w:r>
    </w:p>
    <w:p w:rsidR="007B17C8" w:rsidRPr="00E9304D" w:rsidRDefault="00BF79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4155"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B17C8" w:rsidRPr="00E9304D" w:rsidRDefault="00C107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4155" w:rsidRPr="00E93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54C1A" w:rsidRPr="00E9304D" w:rsidRDefault="00C107EC" w:rsidP="00954C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4155" w:rsidRPr="00E930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) реквизитов (номер, дата) и предмета договора (изменения к договору)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или нормативного правового акта, являющихся основанием для принятия получателем средств бюджета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</w:t>
      </w:r>
      <w:r w:rsidR="0037158B" w:rsidRPr="00E930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4C1A" w:rsidRPr="00E9304D" w:rsidRDefault="00954C1A" w:rsidP="00954C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(изменения к договору) или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 на поставку товаров, выполнение работ, оказание услуг для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нужд (далее - </w:t>
      </w:r>
      <w:r w:rsidR="00FC7848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 на поставку товаров, выполнение работ, оказание услуг) или договора аренды, счета с двусторонними реквизитами; </w:t>
      </w:r>
    </w:p>
    <w:p w:rsidR="00F90163" w:rsidRPr="00E9304D" w:rsidRDefault="00F90163" w:rsidP="00F90163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соглашения о предоставлении из бюджета</w:t>
      </w:r>
      <w:r w:rsidR="00FC78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бюджетам</w:t>
      </w:r>
      <w:r w:rsidR="00FC78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сельских поселений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Троснянского района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межбюджетного трансферта в форме субсидии, субвенции, иного межбюджетного трансферта, имеющих целевое назначение (далее - соглашение на предоставление межбюджетного трансферта);</w:t>
      </w:r>
    </w:p>
    <w:p w:rsidR="00F90163" w:rsidRPr="00E9304D" w:rsidRDefault="00F90163" w:rsidP="00F90163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соглашения о предоставлении субсидии 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F90163" w:rsidRPr="00E9304D" w:rsidRDefault="00F90163" w:rsidP="00A579D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из бюджета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F90163" w:rsidRPr="00E9304D" w:rsidRDefault="00F90163" w:rsidP="00F90163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</w:r>
      <w:r w:rsidR="00A579D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(далее - нормативный правовой акт о предоставлении субсидии юридическому лицу);</w:t>
      </w:r>
    </w:p>
    <w:p w:rsidR="007B17C8" w:rsidRPr="00E9304D" w:rsidRDefault="003F56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158B" w:rsidRPr="00E93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 (или)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акт приемки-передачи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и  (или) 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>универсальный передаточный документ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 (или)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счет-фактура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4C1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>акт ввода в эксплуатацию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, выполнении работ (акт выполненны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>х работ</w:t>
      </w:r>
      <w:r w:rsidR="00BD72E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или счет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>), оказании услуг (счет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 (или)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акт оказания 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>, и  (или)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 счет фактура</w:t>
      </w:r>
      <w:r w:rsidR="007B05F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(или) акт о предоставлении прав</w:t>
      </w:r>
      <w:r w:rsidR="00F84BBE" w:rsidRPr="00E930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05F7" w:rsidRPr="00E9304D">
        <w:rPr>
          <w:rFonts w:ascii="Times New Roman" w:hAnsi="Times New Roman" w:cs="Times New Roman"/>
          <w:color w:val="000000"/>
          <w:sz w:val="28"/>
          <w:szCs w:val="28"/>
        </w:rPr>
        <w:t>, соглашение о</w:t>
      </w:r>
      <w:proofErr w:type="gramEnd"/>
      <w:r w:rsidR="007B05F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05F7" w:rsidRPr="00E9304D">
        <w:rPr>
          <w:rFonts w:ascii="Times New Roman" w:hAnsi="Times New Roman" w:cs="Times New Roman"/>
          <w:color w:val="000000"/>
          <w:sz w:val="28"/>
          <w:szCs w:val="28"/>
        </w:rPr>
        <w:t>погашении задолженности</w:t>
      </w:r>
      <w:r w:rsidR="00E6508D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или по аренде (счет), номер и дата исполнительного документа (исполнительный лист, судебный приказ),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иных документов, подтверждающих возникновение денежных обязательств, предусмотренных </w:t>
      </w:r>
      <w:r w:rsidR="004717A3" w:rsidRPr="00E9304D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документами</w:t>
      </w:r>
      <w:r w:rsidR="005D44B6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района,</w:t>
      </w:r>
      <w:r w:rsidR="004717A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документы, подтверждающие возникновение денежных обязательств), в соответствии с пунктом 6 настоящего Порядка.</w:t>
      </w:r>
      <w:proofErr w:type="gramEnd"/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Требования </w:t>
      </w:r>
      <w:hyperlink r:id="rId8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подпунктов 13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14 пункта 5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37158B" w:rsidRPr="00E9304D" w:rsidRDefault="00943DB8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="0037158B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Заявки</w:t>
        </w:r>
      </w:hyperlink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бюджета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37158B" w:rsidRPr="00E9304D" w:rsidRDefault="00943DB8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1" w:history="1">
        <w:proofErr w:type="gramStart"/>
        <w:r w:rsidR="0037158B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Заявки</w:t>
        </w:r>
      </w:hyperlink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 при перечислении средств получателям средств бюджета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4E5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 бюджета</w:t>
      </w:r>
      <w:r w:rsidR="005D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</w:t>
      </w:r>
      <w:r w:rsidR="00957570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ганизации, получателям средств 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, находящимся за пределами Российской Федерации и получающим средства 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главного распорядителя (распорядителя) средств 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иностранной валюте;</w:t>
      </w:r>
    </w:p>
    <w:p w:rsidR="0037158B" w:rsidRPr="00E9304D" w:rsidRDefault="00943DB8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 w:history="1">
        <w:r w:rsidR="0037158B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Заявки</w:t>
        </w:r>
      </w:hyperlink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p w:rsidR="0037158B" w:rsidRPr="00E9304D" w:rsidRDefault="00943DB8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 w:history="1">
        <w:r w:rsidR="0037158B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Заявки</w:t>
        </w:r>
      </w:hyperlink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получение наличных денег (код по КФД 0531802) (</w:t>
      </w:r>
      <w:hyperlink r:id="rId14" w:history="1">
        <w:r w:rsidR="0037158B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Заявки</w:t>
        </w:r>
      </w:hyperlink>
      <w:r w:rsidR="0037158B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</w:t>
      </w:r>
      <w:hyperlink r:id="rId15" w:history="1">
        <w:r w:rsidR="00957570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 13</w:t>
        </w:r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пункта 5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</w:t>
      </w:r>
      <w:hyperlink r:id="rId16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 1</w:t>
        </w:r>
        <w:r w:rsidR="00957570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4</w:t>
        </w:r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пункта 5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авансовых платежей в соответствии с условиями договора (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контракта);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оплате по договору аренды;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37158B" w:rsidRPr="00E9304D" w:rsidRDefault="0037158B" w:rsidP="0037158B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(администратора </w:t>
      </w: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 w:rsidR="00B4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7. Для подтверждения возникновения денежного обязательства получатель средств бюджета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Заявкой</w:t>
      </w:r>
      <w:r w:rsidR="00162140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кассовый расход</w:t>
      </w:r>
      <w:r w:rsidR="00786C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</w:t>
      </w:r>
      <w:r w:rsidR="00162140" w:rsidRPr="00E930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ней в соответствии с подпункт</w:t>
      </w:r>
      <w:r w:rsidR="00957570" w:rsidRPr="00E9304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217F6" w:rsidRPr="00E93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пункта 5 настоящего Порядка соответствующий</w:t>
      </w:r>
      <w:r w:rsidR="00955E8B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возникновение денежного обязательства</w:t>
      </w:r>
      <w:r w:rsidR="00D129F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документ-</w:t>
      </w:r>
      <w:r w:rsidR="00162140" w:rsidRPr="00E9304D">
        <w:rPr>
          <w:rFonts w:ascii="Times New Roman" w:hAnsi="Times New Roman" w:cs="Times New Roman"/>
          <w:color w:val="000000"/>
          <w:sz w:val="28"/>
          <w:szCs w:val="28"/>
        </w:rPr>
        <w:t>основание)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требованиям, установленным пунктом 9 настоящего Порядка.</w:t>
      </w:r>
    </w:p>
    <w:p w:rsidR="00DE722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обеспечением выполнения функций </w:t>
      </w:r>
      <w:r w:rsidR="00C7638A" w:rsidRPr="00E9304D">
        <w:rPr>
          <w:rFonts w:ascii="Times New Roman" w:hAnsi="Times New Roman" w:cs="Times New Roman"/>
          <w:color w:val="000000"/>
          <w:sz w:val="28"/>
          <w:szCs w:val="28"/>
        </w:rPr>
        <w:t>казенных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(за исключением денежных обязательств по поставкам товаров, выполнению работ, оказанию услуг, аренде);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DE7228" w:rsidRPr="00E9304D" w:rsidRDefault="00DE722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>Троснянскому району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власти 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района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Орловской области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B41758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Орловской области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ли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бо должностных лиц этих органов.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 w:rsidR="00737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</w:t>
      </w:r>
      <w:r w:rsidR="002227E2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возможности и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документооборота</w:t>
      </w:r>
      <w:r w:rsidR="000C17D5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применением электронной  подписи между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получателем средств бюджета</w:t>
      </w:r>
      <w:r w:rsidR="00737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копию, созданную посредством сканирования</w:t>
      </w:r>
      <w:r w:rsidR="00C7638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или копию электронного документа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подтвержденную электронной подписью уполномоченного лица получателя средств бюджета</w:t>
      </w:r>
      <w:r w:rsidR="00737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соответствующего документа-основания (далее - электронная копия документа-основания).</w:t>
      </w:r>
      <w:proofErr w:type="gramEnd"/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 w:rsidR="00737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электронного документооборота с применением электронной подписи между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получателем средств бюджета</w:t>
      </w:r>
      <w:r w:rsidR="00460E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456FE3" w:rsidRPr="00E9304D">
        <w:rPr>
          <w:rFonts w:ascii="Times New Roman" w:hAnsi="Times New Roman" w:cs="Times New Roman"/>
          <w:color w:val="000000"/>
          <w:sz w:val="28"/>
          <w:szCs w:val="28"/>
        </w:rPr>
        <w:t>-основание на бумажном носителе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документ-основание на бумажном носителе подлежит возврату получателю средств бюджета</w:t>
      </w:r>
      <w:r w:rsidR="00361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E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ранее </w:t>
      </w:r>
      <w:r w:rsidR="003838C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условиями настоящего пункта электронной копии</w:t>
      </w:r>
      <w:r w:rsidR="003838C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EA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или договора аренды,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подтверждение возникновения денежного обязательства, вытекающего из такого </w:t>
      </w:r>
      <w:r w:rsidR="00460EA9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087A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0EA9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или договора аренды, осуществляется на основании имеющейся в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копии соответствующего документа-основания.</w:t>
      </w:r>
      <w:proofErr w:type="gramEnd"/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копии документов-оснований подлежат хранению в </w:t>
      </w:r>
      <w:r w:rsidR="00F90379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B02522" w:rsidRPr="00E9304D" w:rsidRDefault="00B02522" w:rsidP="00B02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 w:rsidR="0006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A7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УФК не представляется.</w:t>
      </w:r>
    </w:p>
    <w:p w:rsidR="00B02522" w:rsidRPr="00E9304D" w:rsidRDefault="00B02522" w:rsidP="00B02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В данном случае получателем средств бюджета</w:t>
      </w:r>
      <w:r w:rsidR="00066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УФК представляется в установленном настоящим пунктом порядке информация, содержащая сведения о номере и дате соответствующей </w:t>
      </w:r>
      <w:hyperlink r:id="rId17" w:history="1">
        <w:r w:rsidRPr="00E9304D">
          <w:rPr>
            <w:rFonts w:ascii="Times New Roman" w:hAnsi="Times New Roman" w:cs="Times New Roman"/>
            <w:color w:val="000000"/>
            <w:sz w:val="28"/>
            <w:szCs w:val="28"/>
          </w:rPr>
          <w:t>Заявки</w:t>
        </w:r>
      </w:hyperlink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r:id="rId18" w:history="1">
        <w:r w:rsidRPr="00E9304D">
          <w:rPr>
            <w:rFonts w:ascii="Times New Roman" w:hAnsi="Times New Roman" w:cs="Times New Roman"/>
            <w:color w:val="000000"/>
            <w:sz w:val="28"/>
            <w:szCs w:val="28"/>
          </w:rPr>
          <w:t>подпункте 1</w:t>
        </w:r>
        <w:r w:rsidR="003B0A49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Pr="00E9304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5</w:t>
        </w:r>
      </w:hyperlink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УФК.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бюджета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указанные в Заявке, должны соответствовать кодам бюджетной классификации Российской Федерации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>решению Троснянского районного Совета народных депутатов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>е Троснянского муниципального района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действующим в текущем финансовом году на момент представления Заявки;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</w:t>
      </w:r>
      <w:r w:rsidR="00D129FD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B02522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исходя из документа,</w:t>
      </w:r>
      <w:r w:rsidR="00130CEE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522" w:rsidRPr="00E9304D">
        <w:rPr>
          <w:rFonts w:ascii="Times New Roman" w:hAnsi="Times New Roman" w:cs="Times New Roman"/>
          <w:color w:val="000000"/>
          <w:sz w:val="28"/>
          <w:szCs w:val="28"/>
        </w:rPr>
        <w:t>подтверждающего возникновение денежного обязательства,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B02522" w:rsidRPr="00E930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текста назначения платежа, </w:t>
      </w:r>
      <w:r w:rsidR="00B02522" w:rsidRPr="00E9304D">
        <w:rPr>
          <w:rFonts w:ascii="Times New Roman" w:hAnsi="Times New Roman" w:cs="Times New Roman"/>
          <w:color w:val="000000"/>
          <w:sz w:val="28"/>
          <w:szCs w:val="28"/>
        </w:rPr>
        <w:t>указанному в Заявке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Заявке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авансового платежа предельному размеру авансового платежа, установленному 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>решением Троснянского районного Совета народных депутатов</w:t>
      </w:r>
      <w:r w:rsidR="00E76260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260"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представления Заявки для оплаты денежных обязательств по </w:t>
      </w:r>
      <w:r w:rsidR="00E75C51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7B17C8" w:rsidRPr="00E9304D" w:rsidRDefault="00205C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сумм в Заявке остатков соответствующих лимитов бюджетных обязательств</w:t>
      </w:r>
      <w:r w:rsidR="00C7638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предельных объемов финансирования</w:t>
      </w:r>
      <w:r w:rsidR="007B17C8" w:rsidRPr="00E9304D">
        <w:rPr>
          <w:rFonts w:ascii="Times New Roman" w:hAnsi="Times New Roman" w:cs="Times New Roman"/>
          <w:color w:val="000000"/>
          <w:sz w:val="28"/>
          <w:szCs w:val="28"/>
        </w:rPr>
        <w:t>, учтенных на лицевом счете получателя бюджетных средств;</w:t>
      </w:r>
    </w:p>
    <w:p w:rsidR="00C7638A" w:rsidRPr="00E9304D" w:rsidRDefault="00B02522" w:rsidP="00C7638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7638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наименования, ИНН, КПП, банковских реквизитов получателя денежных средств, указанных в Заявке на кассовый расход, 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C7638A" w:rsidRPr="00E9304D" w:rsidRDefault="00CC052A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УФК 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бюджетного обязательства получателя средств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бюджета</w:t>
      </w:r>
      <w:r w:rsidR="00E75C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925F7" w:rsidRPr="00E9304D" w:rsidRDefault="001925F7" w:rsidP="001925F7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C7638A" w:rsidRPr="00E9304D" w:rsidRDefault="001925F7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) идентичность кода (кодов) классификации расходов бюджета</w:t>
      </w:r>
      <w:r w:rsidR="00E75C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района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бюджетному обязательству и платежу;</w:t>
      </w:r>
    </w:p>
    <w:p w:rsidR="00C7638A" w:rsidRPr="00E9304D" w:rsidRDefault="001925F7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) соответствие предмета бюджетного обязательства и содержания текста назначения платежа;</w:t>
      </w:r>
    </w:p>
    <w:p w:rsidR="001925F7" w:rsidRPr="00E9304D" w:rsidRDefault="001925F7" w:rsidP="001925F7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C7638A" w:rsidRPr="00E9304D" w:rsidRDefault="001925F7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непревышение</w:t>
      </w:r>
      <w:proofErr w:type="spellEnd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8837B7" w:rsidRPr="00E9304D" w:rsidRDefault="008837B7" w:rsidP="008837B7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6) соответствие кода классификации расходов и кода объекта ФАИП по бюджетному обязательству и платежу;</w:t>
      </w:r>
    </w:p>
    <w:p w:rsidR="00C7638A" w:rsidRPr="00E9304D" w:rsidRDefault="008837B7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идентичность наименования, ИНН, КПП получателя денежных средств, указанных в </w:t>
      </w:r>
      <w:hyperlink r:id="rId19" w:history="1">
        <w:r w:rsidR="00C7638A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Заявке</w:t>
        </w:r>
      </w:hyperlink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расход, по бюджетному обязательству и платежу;</w:t>
      </w:r>
    </w:p>
    <w:p w:rsidR="00C7638A" w:rsidRPr="00E9304D" w:rsidRDefault="008837B7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непревышение</w:t>
      </w:r>
      <w:proofErr w:type="spellEnd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размера авансового платежа, указанного в </w:t>
      </w:r>
      <w:hyperlink r:id="rId20" w:history="1">
        <w:r w:rsidR="00C7638A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Заявке</w:t>
        </w:r>
      </w:hyperlink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1925F7" w:rsidRPr="00E9304D" w:rsidRDefault="008837B7" w:rsidP="001925F7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присвоенного уполномоченным органом исполнительной власти указанному в </w:t>
      </w:r>
      <w:hyperlink r:id="rId21" w:history="1">
        <w:r w:rsidR="00C7638A"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Заявке</w:t>
        </w:r>
      </w:hyperlink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кассовый расход договору (</w:t>
      </w:r>
      <w:r w:rsidR="00E75C5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муниципальному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контракту), подлежащему включению в реестр контрактов,</w:t>
      </w:r>
      <w:r w:rsidR="001925F7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содержащему сведения, составляющие государственную тайну,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бюджетному обязательству</w:t>
      </w:r>
      <w:proofErr w:type="gramEnd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925F7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</w:t>
      </w:r>
      <w:r w:rsidR="008D737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муниципальному</w:t>
      </w:r>
      <w:r w:rsidR="001925F7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1925F7" w:rsidRPr="00E9304D" w:rsidRDefault="008837B7" w:rsidP="0078352A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Заявке на кассовый расход авансового платежа над предельным размером авансового платежа, установленным </w:t>
      </w:r>
      <w:r w:rsidR="008D737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Троснянского районного Совета народных депутатов </w:t>
      </w:r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="008D7374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муниципального района</w:t>
      </w:r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>, в случае представления Заявки для оплаты денежных обязательств по договору (</w:t>
      </w:r>
      <w:r w:rsidR="008D7374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="0078352A" w:rsidRPr="00E9304D">
        <w:rPr>
          <w:rFonts w:ascii="Times New Roman" w:hAnsi="Times New Roman" w:cs="Times New Roman"/>
          <w:color w:val="000000"/>
          <w:sz w:val="28"/>
          <w:szCs w:val="28"/>
        </w:rPr>
        <w:t>) контракту;</w:t>
      </w:r>
    </w:p>
    <w:p w:rsidR="00C7638A" w:rsidRPr="00E9304D" w:rsidRDefault="000D50AF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="008837B7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неопережение</w:t>
      </w:r>
      <w:proofErr w:type="spellEnd"/>
      <w:r w:rsidR="00C7638A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C7638A" w:rsidRPr="00E9304D" w:rsidRDefault="00C7638A" w:rsidP="0057581D">
      <w:pPr>
        <w:pStyle w:val="Default"/>
        <w:jc w:val="both"/>
        <w:rPr>
          <w:sz w:val="28"/>
          <w:szCs w:val="28"/>
        </w:rPr>
      </w:pPr>
      <w:proofErr w:type="gramStart"/>
      <w:r w:rsidRPr="00E9304D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</w:t>
      </w:r>
      <w:r w:rsidR="00CC052A" w:rsidRPr="00E9304D">
        <w:rPr>
          <w:sz w:val="28"/>
          <w:szCs w:val="28"/>
        </w:rPr>
        <w:t>УФК</w:t>
      </w:r>
      <w:r w:rsidRPr="00E9304D">
        <w:rPr>
          <w:sz w:val="28"/>
          <w:szCs w:val="28"/>
        </w:rPr>
        <w:t xml:space="preserve"> бюджетного </w:t>
      </w:r>
      <w:r w:rsidRPr="00EB378F">
        <w:rPr>
          <w:sz w:val="28"/>
          <w:szCs w:val="28"/>
        </w:rPr>
        <w:t xml:space="preserve">обязательства, осуществляется одновременно с принятием на учет нового бюджетного обязательства в соответствии с </w:t>
      </w:r>
      <w:hyperlink r:id="rId22" w:history="1">
        <w:r w:rsidRPr="00EB378F">
          <w:rPr>
            <w:sz w:val="28"/>
            <w:szCs w:val="28"/>
          </w:rPr>
          <w:t>Порядком</w:t>
        </w:r>
      </w:hyperlink>
      <w:r w:rsidRPr="00EB378F">
        <w:rPr>
          <w:sz w:val="28"/>
          <w:szCs w:val="28"/>
        </w:rPr>
        <w:t xml:space="preserve"> учета бюджетных обязательств получателей средств бюджета</w:t>
      </w:r>
      <w:r w:rsidR="007523F6">
        <w:rPr>
          <w:sz w:val="28"/>
          <w:szCs w:val="28"/>
        </w:rPr>
        <w:t xml:space="preserve"> муниципального района</w:t>
      </w:r>
      <w:r w:rsidRPr="00EB378F">
        <w:rPr>
          <w:sz w:val="28"/>
          <w:szCs w:val="28"/>
        </w:rPr>
        <w:t xml:space="preserve">, утвержденным приказом </w:t>
      </w:r>
      <w:r w:rsidR="007523F6">
        <w:rPr>
          <w:sz w:val="28"/>
          <w:szCs w:val="28"/>
        </w:rPr>
        <w:t xml:space="preserve"> </w:t>
      </w:r>
      <w:r w:rsidR="00CC052A" w:rsidRPr="00EB378F">
        <w:rPr>
          <w:sz w:val="28"/>
          <w:szCs w:val="28"/>
        </w:rPr>
        <w:t>финансов</w:t>
      </w:r>
      <w:r w:rsidR="007523F6">
        <w:rPr>
          <w:sz w:val="28"/>
          <w:szCs w:val="28"/>
        </w:rPr>
        <w:t>ого отдела администрации Троснянского района</w:t>
      </w:r>
      <w:r w:rsidR="00F8045D">
        <w:rPr>
          <w:sz w:val="28"/>
          <w:szCs w:val="28"/>
        </w:rPr>
        <w:t xml:space="preserve"> </w:t>
      </w:r>
      <w:r w:rsidR="00D03BE7">
        <w:rPr>
          <w:sz w:val="28"/>
          <w:szCs w:val="28"/>
        </w:rPr>
        <w:t>от 23 декабря 2016 года №</w:t>
      </w:r>
      <w:r w:rsidR="007B0D80">
        <w:rPr>
          <w:sz w:val="28"/>
          <w:szCs w:val="28"/>
        </w:rPr>
        <w:t xml:space="preserve"> </w:t>
      </w:r>
      <w:r w:rsidR="00D03BE7">
        <w:rPr>
          <w:sz w:val="28"/>
          <w:szCs w:val="28"/>
        </w:rPr>
        <w:t>22</w:t>
      </w:r>
      <w:proofErr w:type="gramEnd"/>
      <w:r w:rsidR="00D03BE7">
        <w:rPr>
          <w:sz w:val="28"/>
          <w:szCs w:val="28"/>
        </w:rPr>
        <w:t xml:space="preserve"> </w:t>
      </w:r>
      <w:r w:rsidR="0057581D">
        <w:rPr>
          <w:sz w:val="28"/>
          <w:szCs w:val="28"/>
        </w:rPr>
        <w:t>«</w:t>
      </w:r>
      <w:r w:rsidR="0057581D">
        <w:rPr>
          <w:color w:val="auto"/>
          <w:sz w:val="28"/>
          <w:szCs w:val="28"/>
        </w:rPr>
        <w:t xml:space="preserve">О порядке </w:t>
      </w:r>
      <w:proofErr w:type="gramStart"/>
      <w:r w:rsidR="0057581D">
        <w:rPr>
          <w:color w:val="auto"/>
          <w:sz w:val="28"/>
          <w:szCs w:val="28"/>
        </w:rPr>
        <w:t>учета бюджетных обязательств получателей средств бюджета муниципального</w:t>
      </w:r>
      <w:proofErr w:type="gramEnd"/>
      <w:r w:rsidR="0057581D">
        <w:rPr>
          <w:color w:val="auto"/>
          <w:sz w:val="28"/>
          <w:szCs w:val="28"/>
        </w:rPr>
        <w:t xml:space="preserve"> района»</w:t>
      </w:r>
      <w:r w:rsidRPr="00EB378F">
        <w:rPr>
          <w:sz w:val="28"/>
          <w:szCs w:val="28"/>
        </w:rPr>
        <w:t xml:space="preserve"> (далее - Порядок учета бюджетных обязательств).</w:t>
      </w:r>
    </w:p>
    <w:p w:rsidR="00C7638A" w:rsidRPr="00E9304D" w:rsidRDefault="00C7638A" w:rsidP="00C7638A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3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учета бюджетных обязатель</w:t>
      </w: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ств дл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я постановки на учет бюджетного обязательства;</w:t>
      </w:r>
    </w:p>
    <w:p w:rsidR="007B17C8" w:rsidRPr="00E9304D" w:rsidRDefault="007B17C8" w:rsidP="00C76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244" w:rsidRPr="00E93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76091">
        <w:rPr>
          <w:rFonts w:ascii="Times New Roman" w:hAnsi="Times New Roman" w:cs="Times New Roman"/>
          <w:color w:val="000000"/>
          <w:sz w:val="28"/>
          <w:szCs w:val="28"/>
        </w:rPr>
        <w:t xml:space="preserve">решению Троснянского районного Совета народных депутатов о бюджете </w:t>
      </w:r>
      <w:r w:rsidR="00E32477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муниципального района 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>на текущий год и плановый период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действующим в текущем финансовом году на момент представления Заявки;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</w:t>
      </w:r>
      <w:r w:rsidR="00E02581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подгрупп и элементов </w:t>
      </w:r>
      <w:proofErr w:type="gramStart"/>
      <w:r w:rsidR="00E02581" w:rsidRPr="00E9304D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2F0BC6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кодов цели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244" w:rsidRPr="00E930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E3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проверка Заявки по следующим направлениям: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коды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дефицита бюджета</w:t>
      </w:r>
      <w:r w:rsidR="00E3247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</w:t>
      </w:r>
      <w:proofErr w:type="gramEnd"/>
      <w:r w:rsidR="00E3247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финансирования дефицита</w:t>
      </w:r>
      <w:r w:rsidR="00B70913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E3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7C8" w:rsidRPr="00366795" w:rsidRDefault="007B17C8" w:rsidP="00366795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244" w:rsidRPr="00E93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пунктами 4, 5, 10</w:t>
      </w:r>
      <w:r w:rsidR="008837B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5508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8837B7" w:rsidRPr="00E9304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855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7B7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1 - 9 пункта 11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</w:t>
      </w:r>
      <w:r w:rsidR="00DB5173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</w:t>
      </w:r>
      <w:r w:rsidR="004462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(администратору источников финансирования дефицита бюджета</w:t>
      </w:r>
      <w:r w:rsidR="004462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не позднее срока, установленного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настоящего Порядка, экземпляры Заявки на бумажном носителе с указанием в </w:t>
      </w:r>
      <w:r w:rsidR="00564921">
        <w:rPr>
          <w:rFonts w:ascii="Times New Roman" w:hAnsi="Times New Roman" w:cs="Times New Roman"/>
          <w:color w:val="000000"/>
          <w:sz w:val="28"/>
          <w:szCs w:val="28"/>
        </w:rPr>
        <w:t>прилагаемом п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ротоколе (код по КФД 0531805)</w:t>
      </w:r>
      <w:r w:rsidR="007E6925">
        <w:rPr>
          <w:rFonts w:ascii="Times New Roman" w:hAnsi="Times New Roman" w:cs="Times New Roman"/>
          <w:color w:val="000000"/>
          <w:sz w:val="28"/>
          <w:szCs w:val="28"/>
        </w:rPr>
        <w:t>, составленном</w:t>
      </w:r>
      <w:r w:rsidR="00B42027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приказом</w:t>
      </w:r>
      <w:r w:rsidR="007E692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от 10 октября 2008 года    № 8н «</w:t>
      </w:r>
      <w:r w:rsidR="007E6925">
        <w:rPr>
          <w:rFonts w:ascii="Times New Roman" w:eastAsia="Calibri" w:hAnsi="Times New Roman" w:cs="Times New Roman"/>
          <w:sz w:val="28"/>
          <w:szCs w:val="28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 w:rsidR="007E6925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по исполнению соответствующих бюджетов»</w:t>
      </w:r>
      <w:r w:rsidR="00564921">
        <w:rPr>
          <w:rFonts w:ascii="Times New Roman" w:eastAsia="Calibri" w:hAnsi="Times New Roman" w:cs="Times New Roman"/>
          <w:sz w:val="28"/>
          <w:szCs w:val="28"/>
        </w:rPr>
        <w:t xml:space="preserve"> (далее – Протокол)</w:t>
      </w:r>
      <w:r w:rsidR="003667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причины возврата.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В случае если Заявка представлялась в электронном виде, получателю средств бюджета</w:t>
      </w:r>
      <w:r w:rsidR="004C1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(администратору источников финансирования бюджета</w:t>
      </w:r>
      <w:r w:rsidR="004C1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27272F" w:rsidRPr="00E9304D" w:rsidRDefault="0027272F" w:rsidP="0027272F">
      <w:pPr>
        <w:widowControl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установлении УФК нарушений получателем средств </w:t>
      </w:r>
      <w:r w:rsidR="004C11DD">
        <w:rPr>
          <w:rFonts w:ascii="Times New Roman" w:eastAsia="Calibri" w:hAnsi="Times New Roman" w:cs="Times New Roman"/>
          <w:color w:val="000000"/>
          <w:sz w:val="28"/>
          <w:szCs w:val="28"/>
        </w:rPr>
        <w:t>бюджета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условий, установленных </w:t>
      </w:r>
      <w:hyperlink r:id="rId24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подпунктами </w:t>
        </w:r>
      </w:hyperlink>
      <w:r w:rsidR="00E9304D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10,11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 11 настоящего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 w:rsidR="004C1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r:id="rId25" w:history="1">
        <w:r w:rsidRPr="00E9304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</w:t>
      </w:r>
      <w:proofErr w:type="gramEnd"/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Порядку (код формы по КФД 0504713) а также обеспечивает доведение указанной информации до главного распорядителя (распорядителя) средств бюджета</w:t>
      </w:r>
      <w:r w:rsidR="0012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12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B17C8" w:rsidRPr="00E9304D" w:rsidRDefault="007B17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244" w:rsidRPr="00E93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</w:t>
      </w:r>
      <w:r w:rsidR="00984482" w:rsidRPr="00E9304D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 проставляется отметка, подтверждающая санкционирование оплаты денежных обязательств получателя средств бюджета</w:t>
      </w:r>
      <w:r w:rsidR="001246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 w:rsidR="00124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E9304D" w:rsidRPr="00E9304D" w:rsidRDefault="00E9304D" w:rsidP="00E9304D">
      <w:pPr>
        <w:widowControl/>
        <w:ind w:firstLine="54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930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16. Представление и хранение Заявки для санкционирования </w:t>
      </w:r>
      <w:proofErr w:type="gramStart"/>
      <w:r w:rsidRPr="00E930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оплаты денежных обязательств получателей средств бюджета</w:t>
      </w:r>
      <w:r w:rsidR="001246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муниципального</w:t>
      </w:r>
      <w:proofErr w:type="gramEnd"/>
      <w:r w:rsidR="001246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района</w:t>
      </w:r>
      <w:r w:rsidRPr="00E930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(администраторов источников финансирования дефицита бюджета</w:t>
      </w:r>
      <w:r w:rsidR="001246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6" w:history="1">
        <w:r w:rsidRPr="00E9304D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законодательства</w:t>
        </w:r>
      </w:hyperlink>
      <w:r w:rsidRPr="00E930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Российской Федерации о защите государственной тайны.</w:t>
      </w:r>
    </w:p>
    <w:p w:rsidR="00E9304D" w:rsidRPr="00E9304D" w:rsidRDefault="00E9304D" w:rsidP="00E9304D">
      <w:pPr>
        <w:widowControl/>
        <w:ind w:firstLine="540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sectPr w:rsidR="00E9304D" w:rsidRPr="00E9304D" w:rsidSect="00332F17">
      <w:headerReference w:type="default" r:id="rId27"/>
      <w:footerReference w:type="default" r:id="rId2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F7" w:rsidRDefault="00B862F7" w:rsidP="00177D16">
      <w:r>
        <w:separator/>
      </w:r>
    </w:p>
  </w:endnote>
  <w:endnote w:type="continuationSeparator" w:id="0">
    <w:p w:rsidR="00B862F7" w:rsidRDefault="00B862F7" w:rsidP="0017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6" w:rsidRDefault="00177D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F7" w:rsidRDefault="00B862F7" w:rsidP="00177D16">
      <w:r>
        <w:separator/>
      </w:r>
    </w:p>
  </w:footnote>
  <w:footnote w:type="continuationSeparator" w:id="0">
    <w:p w:rsidR="00B862F7" w:rsidRDefault="00B862F7" w:rsidP="0017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5" w:rsidRDefault="00943DB8">
    <w:pPr>
      <w:pStyle w:val="a5"/>
      <w:jc w:val="center"/>
    </w:pPr>
    <w:fldSimple w:instr=" PAGE   \* MERGEFORMAT ">
      <w:r w:rsidR="00245191">
        <w:rPr>
          <w:noProof/>
        </w:rPr>
        <w:t>10</w:t>
      </w:r>
    </w:fldSimple>
  </w:p>
  <w:p w:rsidR="00544625" w:rsidRDefault="005446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9D4"/>
    <w:multiLevelType w:val="multilevel"/>
    <w:tmpl w:val="91AC1B1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17C8"/>
    <w:rsid w:val="000324CF"/>
    <w:rsid w:val="00043CAD"/>
    <w:rsid w:val="000510B4"/>
    <w:rsid w:val="0005556C"/>
    <w:rsid w:val="00065449"/>
    <w:rsid w:val="000665D1"/>
    <w:rsid w:val="00066E14"/>
    <w:rsid w:val="00071F8F"/>
    <w:rsid w:val="00074F93"/>
    <w:rsid w:val="0008140B"/>
    <w:rsid w:val="00087A77"/>
    <w:rsid w:val="000A2E23"/>
    <w:rsid w:val="000A34F4"/>
    <w:rsid w:val="000C17D5"/>
    <w:rsid w:val="000D0673"/>
    <w:rsid w:val="000D50AF"/>
    <w:rsid w:val="000D5F27"/>
    <w:rsid w:val="001216EC"/>
    <w:rsid w:val="0012463F"/>
    <w:rsid w:val="00130CEE"/>
    <w:rsid w:val="00132470"/>
    <w:rsid w:val="00162140"/>
    <w:rsid w:val="001732B1"/>
    <w:rsid w:val="00177D16"/>
    <w:rsid w:val="0018731C"/>
    <w:rsid w:val="001925F7"/>
    <w:rsid w:val="001B130F"/>
    <w:rsid w:val="00205CFA"/>
    <w:rsid w:val="00207077"/>
    <w:rsid w:val="002227E2"/>
    <w:rsid w:val="00233BF1"/>
    <w:rsid w:val="0024272D"/>
    <w:rsid w:val="00245191"/>
    <w:rsid w:val="002715B4"/>
    <w:rsid w:val="0027272F"/>
    <w:rsid w:val="002872A2"/>
    <w:rsid w:val="002A54D5"/>
    <w:rsid w:val="002F0BC6"/>
    <w:rsid w:val="003129FD"/>
    <w:rsid w:val="00314155"/>
    <w:rsid w:val="00332F17"/>
    <w:rsid w:val="003515D0"/>
    <w:rsid w:val="00361A85"/>
    <w:rsid w:val="00366795"/>
    <w:rsid w:val="0037158B"/>
    <w:rsid w:val="003838C7"/>
    <w:rsid w:val="003A16FE"/>
    <w:rsid w:val="003B0A49"/>
    <w:rsid w:val="003F039B"/>
    <w:rsid w:val="003F562B"/>
    <w:rsid w:val="0040529C"/>
    <w:rsid w:val="00405F7E"/>
    <w:rsid w:val="00421260"/>
    <w:rsid w:val="004217F6"/>
    <w:rsid w:val="004349A4"/>
    <w:rsid w:val="0044629C"/>
    <w:rsid w:val="004478D0"/>
    <w:rsid w:val="00456FE3"/>
    <w:rsid w:val="00457DF8"/>
    <w:rsid w:val="00460EA9"/>
    <w:rsid w:val="00466244"/>
    <w:rsid w:val="004717A3"/>
    <w:rsid w:val="0049626E"/>
    <w:rsid w:val="004A24F3"/>
    <w:rsid w:val="004C11DD"/>
    <w:rsid w:val="004E4002"/>
    <w:rsid w:val="004F78D5"/>
    <w:rsid w:val="00504453"/>
    <w:rsid w:val="0053769B"/>
    <w:rsid w:val="00544625"/>
    <w:rsid w:val="00547EA2"/>
    <w:rsid w:val="00564921"/>
    <w:rsid w:val="00574C0E"/>
    <w:rsid w:val="0057581D"/>
    <w:rsid w:val="00576BDD"/>
    <w:rsid w:val="00597814"/>
    <w:rsid w:val="005C10F2"/>
    <w:rsid w:val="005D4016"/>
    <w:rsid w:val="005D44B6"/>
    <w:rsid w:val="005F5B31"/>
    <w:rsid w:val="006202E6"/>
    <w:rsid w:val="006263F6"/>
    <w:rsid w:val="00633285"/>
    <w:rsid w:val="00640635"/>
    <w:rsid w:val="006851E9"/>
    <w:rsid w:val="006A0FD6"/>
    <w:rsid w:val="006B3E12"/>
    <w:rsid w:val="006B4663"/>
    <w:rsid w:val="006C4E55"/>
    <w:rsid w:val="006E390D"/>
    <w:rsid w:val="00701A3D"/>
    <w:rsid w:val="007067D8"/>
    <w:rsid w:val="007154A6"/>
    <w:rsid w:val="00717862"/>
    <w:rsid w:val="0072777A"/>
    <w:rsid w:val="007374DD"/>
    <w:rsid w:val="007523F6"/>
    <w:rsid w:val="0076234E"/>
    <w:rsid w:val="0076512D"/>
    <w:rsid w:val="00774B6D"/>
    <w:rsid w:val="0078352A"/>
    <w:rsid w:val="00786C04"/>
    <w:rsid w:val="007A1885"/>
    <w:rsid w:val="007A7049"/>
    <w:rsid w:val="007B05F7"/>
    <w:rsid w:val="007B0D80"/>
    <w:rsid w:val="007B17C8"/>
    <w:rsid w:val="007D5EB4"/>
    <w:rsid w:val="007E6925"/>
    <w:rsid w:val="007F57EB"/>
    <w:rsid w:val="00821AD6"/>
    <w:rsid w:val="008559A4"/>
    <w:rsid w:val="00876091"/>
    <w:rsid w:val="008837B7"/>
    <w:rsid w:val="00892A45"/>
    <w:rsid w:val="00897121"/>
    <w:rsid w:val="008B07EE"/>
    <w:rsid w:val="008D7374"/>
    <w:rsid w:val="00917B56"/>
    <w:rsid w:val="00924DA1"/>
    <w:rsid w:val="009305BD"/>
    <w:rsid w:val="009420D3"/>
    <w:rsid w:val="00943DB8"/>
    <w:rsid w:val="00954C1A"/>
    <w:rsid w:val="00955E8B"/>
    <w:rsid w:val="0095715F"/>
    <w:rsid w:val="00957570"/>
    <w:rsid w:val="009838B6"/>
    <w:rsid w:val="00984482"/>
    <w:rsid w:val="009B792E"/>
    <w:rsid w:val="009C1B95"/>
    <w:rsid w:val="009D1996"/>
    <w:rsid w:val="009F1771"/>
    <w:rsid w:val="00A568B5"/>
    <w:rsid w:val="00A579DA"/>
    <w:rsid w:val="00A72873"/>
    <w:rsid w:val="00A80C1B"/>
    <w:rsid w:val="00AA1374"/>
    <w:rsid w:val="00AA6890"/>
    <w:rsid w:val="00AE32EB"/>
    <w:rsid w:val="00B02522"/>
    <w:rsid w:val="00B10FC4"/>
    <w:rsid w:val="00B26783"/>
    <w:rsid w:val="00B41758"/>
    <w:rsid w:val="00B42027"/>
    <w:rsid w:val="00B4444A"/>
    <w:rsid w:val="00B70913"/>
    <w:rsid w:val="00B81035"/>
    <w:rsid w:val="00B862F7"/>
    <w:rsid w:val="00B86743"/>
    <w:rsid w:val="00B923E0"/>
    <w:rsid w:val="00BD72E5"/>
    <w:rsid w:val="00BF7993"/>
    <w:rsid w:val="00C107EC"/>
    <w:rsid w:val="00C14C56"/>
    <w:rsid w:val="00C1687C"/>
    <w:rsid w:val="00C32F38"/>
    <w:rsid w:val="00C7638A"/>
    <w:rsid w:val="00C766EC"/>
    <w:rsid w:val="00C949B4"/>
    <w:rsid w:val="00CC052A"/>
    <w:rsid w:val="00CC4441"/>
    <w:rsid w:val="00CE15A2"/>
    <w:rsid w:val="00CE3F53"/>
    <w:rsid w:val="00CF33CE"/>
    <w:rsid w:val="00D03BE7"/>
    <w:rsid w:val="00D129FD"/>
    <w:rsid w:val="00D24463"/>
    <w:rsid w:val="00D34727"/>
    <w:rsid w:val="00D368DB"/>
    <w:rsid w:val="00D70133"/>
    <w:rsid w:val="00D767E3"/>
    <w:rsid w:val="00D879F0"/>
    <w:rsid w:val="00DB5173"/>
    <w:rsid w:val="00DD2984"/>
    <w:rsid w:val="00DD5DAD"/>
    <w:rsid w:val="00DE7228"/>
    <w:rsid w:val="00E02581"/>
    <w:rsid w:val="00E32477"/>
    <w:rsid w:val="00E421F2"/>
    <w:rsid w:val="00E4671D"/>
    <w:rsid w:val="00E50415"/>
    <w:rsid w:val="00E6508D"/>
    <w:rsid w:val="00E66B92"/>
    <w:rsid w:val="00E75C51"/>
    <w:rsid w:val="00E76260"/>
    <w:rsid w:val="00E83F8A"/>
    <w:rsid w:val="00E9304D"/>
    <w:rsid w:val="00EA558B"/>
    <w:rsid w:val="00EB0A59"/>
    <w:rsid w:val="00EB378F"/>
    <w:rsid w:val="00EB4712"/>
    <w:rsid w:val="00EB66A9"/>
    <w:rsid w:val="00F509FA"/>
    <w:rsid w:val="00F80096"/>
    <w:rsid w:val="00F8045D"/>
    <w:rsid w:val="00F84BBE"/>
    <w:rsid w:val="00F85508"/>
    <w:rsid w:val="00F90163"/>
    <w:rsid w:val="00F90379"/>
    <w:rsid w:val="00FA28A0"/>
    <w:rsid w:val="00FC4952"/>
    <w:rsid w:val="00FC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1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17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80C1B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0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7D1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177D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7D1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177D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F53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Default">
    <w:name w:val="Default"/>
    <w:rsid w:val="005758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26B00B7D3081C71AFD47993AEEA1F73E689383D704C7EE96461Ak0i4H" TargetMode="External"/><Relationship Id="rId13" Type="http://schemas.openxmlformats.org/officeDocument/2006/relationships/hyperlink" Target="consultantplus://offline/ref=ABCA4D7AF70FF7C9E04F26B00B7D3081C71AFB4D9A38EEA1F73E689383D704C7EE96461303E38289k4i2H" TargetMode="External"/><Relationship Id="rId18" Type="http://schemas.openxmlformats.org/officeDocument/2006/relationships/hyperlink" Target="consultantplus://offline/ref=00AC1F6A3854F075CB939E0DFAF12EDDF801E355ED078D2B843C2E0764E2055F3FA8324EX0BAK" TargetMode="External"/><Relationship Id="rId26" Type="http://schemas.openxmlformats.org/officeDocument/2006/relationships/hyperlink" Target="consultantplus://offline/ref=A573384E9CDCC5F94FB517D2472EF42386B3F459FDAB98C5C90A3A5B4D241200F4438A7883EBEDP5H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999C7B54BE5A3F98B3E12A9B11153F5EEAA323B027AD293059D46A74D789660CF051218A863DAF8d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CA4D7AF70FF7C9E04F26B00B7D3081C71AFB4D9A38EEA1F73E689383D704C7EE96461303E3828Dk4i1H" TargetMode="External"/><Relationship Id="rId17" Type="http://schemas.openxmlformats.org/officeDocument/2006/relationships/hyperlink" Target="consultantplus://offline/ref=00AC1F6A3854F075CB939E0DFAF12EDDF801E55FEE058D2B843C2E0764E2055F3FA832470DC9B42EX6B3K" TargetMode="External"/><Relationship Id="rId25" Type="http://schemas.openxmlformats.org/officeDocument/2006/relationships/hyperlink" Target="consultantplus://offline/ref=130B5DE0F449E7006306D98F504E836D58C83134F88FD741650DA02367320626384A3E5DF8P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CA4D7AF70FF7C9E04F26B00B7D3081C71AFD47993AEEA1F73E689383D704C7EE96461Bk0i2H" TargetMode="External"/><Relationship Id="rId20" Type="http://schemas.openxmlformats.org/officeDocument/2006/relationships/hyperlink" Target="consultantplus://offline/ref=B28999C7B54BE5A3F98B3E12A9B11153F5EEAA323B027AD293059D46A74D789660CF051218A863DAF8d6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CA4D7AF70FF7C9E04F26B00B7D3081C71AFB4D9A38EEA1F73E689383D704C7EE96461303E3828Dk4i1H" TargetMode="External"/><Relationship Id="rId24" Type="http://schemas.openxmlformats.org/officeDocument/2006/relationships/hyperlink" Target="consultantplus://offline/ref=130B5DE0F449E7006306D98F504E836D58C83134F88FD741650DA02367320626384A3E5883F1P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A4D7AF70FF7C9E04F26B00B7D3081C71AFD47993AEEA1F73E689383D704C7EE96461Ak0i4H" TargetMode="External"/><Relationship Id="rId23" Type="http://schemas.openxmlformats.org/officeDocument/2006/relationships/hyperlink" Target="consultantplus://offline/ref=B28999C7B54BE5A3F98B3E12A9B11153F5EEAD363B057AD293059D46A74D789660CF051218A965D8F8d7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BCA4D7AF70FF7C9E04F26B00B7D3081C71AFB4D9A38EEA1F73E689383D704C7EE96461303E3828Dk4i1H" TargetMode="External"/><Relationship Id="rId19" Type="http://schemas.openxmlformats.org/officeDocument/2006/relationships/hyperlink" Target="consultantplus://offline/ref=B28999C7B54BE5A3F98B3E12A9B11153F5EEAA323B027AD293059D46A74D789660CF051218A863DAF8d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A4D7AF70FF7C9E04F26B00B7D3081C71AFD47993AEEA1F73E689383D704C7EE96461Bk0i2H" TargetMode="External"/><Relationship Id="rId14" Type="http://schemas.openxmlformats.org/officeDocument/2006/relationships/hyperlink" Target="consultantplus://offline/ref=ABCA4D7AF70FF7C9E04F26B00B7D3081C71AFB4D9A39EEA1F73E689383D704C7EE96461303E28188k4i0H" TargetMode="External"/><Relationship Id="rId22" Type="http://schemas.openxmlformats.org/officeDocument/2006/relationships/hyperlink" Target="consultantplus://offline/ref=B28999C7B54BE5A3F98B3E12A9B11153F5EEAD363B057AD293059D46A74D789660CF051218A965D8F8d7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58E2-19D1-4DBD-A0C9-77DBEAA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27545</CharactersWithSpaces>
  <SharedDoc>false</SharedDoc>
  <HLinks>
    <vt:vector size="114" baseType="variant">
      <vt:variant>
        <vt:i4>524292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consultantplus://offline/ref=A573384E9CDCC5F94FB517D2472EF42386B3F459FDAB98C5C90A3A5B4D241200F4438A7883EBEDP5HEO</vt:lpwstr>
      </vt:variant>
      <vt:variant>
        <vt:lpwstr/>
      </vt:variant>
      <vt:variant>
        <vt:i4>3276905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consultantplus://offline/ref=130B5DE0F449E7006306D98F504E836D58C83134F88FD741650DA02367320626384A3E5DF8P5H</vt:lpwstr>
      </vt:variant>
      <vt:variant>
        <vt:lpwstr/>
      </vt:variant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consultantplus://offline/ref=130B5DE0F449E7006306D98F504E836D58C83134F88FD741650DA02367320626384A3E5883F1PFH</vt:lpwstr>
      </vt:variant>
      <vt:variant>
        <vt:lpwstr/>
      </vt:variant>
      <vt:variant>
        <vt:i4>2097262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consultantplus://offline/ref=B28999C7B54BE5A3F98B3E12A9B11153F5EEAD363B057AD293059D46A74D789660CF051218A965D8F8d7G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consultantplus://offline/ref=B28999C7B54BE5A3F98B3E12A9B11153F5EEAD363B057AD293059D46A74D789660CF051218A965D8F8d7G</vt:lpwstr>
      </vt:variant>
      <vt:variant>
        <vt:lpwstr/>
      </vt:variant>
      <vt:variant>
        <vt:i4>2097207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consultantplus://offline/ref=B28999C7B54BE5A3F98B3E12A9B11153F5EEAA323B027AD293059D46A74D789660CF051218A863DAF8d6G</vt:lpwstr>
      </vt:variant>
      <vt:variant>
        <vt:lpwstr/>
      </vt:variant>
      <vt:variant>
        <vt:i4>2097207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consultantplus://offline/ref=B28999C7B54BE5A3F98B3E12A9B11153F5EEAA323B027AD293059D46A74D789660CF051218A863DAF8d6G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consultantplus://offline/ref=B28999C7B54BE5A3F98B3E12A9B11153F5EEAA323B027AD293059D46A74D789660CF051218A863DAF8d6G</vt:lpwstr>
      </vt:variant>
      <vt:variant>
        <vt:lpwstr/>
      </vt:variant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consultantplus://offline/ref=00AC1F6A3854F075CB939E0DFAF12EDDF801E355ED078D2B843C2E0764E2055F3FA8324EX0BAK</vt:lpwstr>
      </vt:variant>
      <vt:variant>
        <vt:lpwstr/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consultantplus://offline/ref=00AC1F6A3854F075CB939E0DFAF12EDDF801E55FEE058D2B843C2E0764E2055F3FA832470DC9B42EX6B3K</vt:lpwstr>
      </vt:variant>
      <vt:variant>
        <vt:lpwstr/>
      </vt:variant>
      <vt:variant>
        <vt:i4>7536701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consultantplus://offline/ref=ABCA4D7AF70FF7C9E04F26B00B7D3081C71AFD47993AEEA1F73E689383D704C7EE96461Bk0i2H</vt:lpwstr>
      </vt:variant>
      <vt:variant>
        <vt:lpwstr/>
      </vt:variant>
      <vt:variant>
        <vt:i4>7536696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consultantplus://offline/ref=ABCA4D7AF70FF7C9E04F26B00B7D3081C71AFD47993AEEA1F73E689383D704C7EE96461Ak0i4H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consultantplus://offline/ref=ABCA4D7AF70FF7C9E04F26B00B7D3081C71AFB4D9A39EEA1F73E689383D704C7EE96461303E28188k4i0H</vt:lpwstr>
      </vt:variant>
      <vt:variant>
        <vt:lpwstr/>
      </vt:variant>
      <vt:variant>
        <vt:i4>2490423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consultantplus://offline/ref=ABCA4D7AF70FF7C9E04F26B00B7D3081C71AFB4D9A38EEA1F73E689383D704C7EE96461303E38289k4i2H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consultantplus://offline/ref=ABCA4D7AF70FF7C9E04F26B00B7D3081C71AFB4D9A38EEA1F73E689383D704C7EE96461303E3828Dk4i1H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consultantplus://offline/ref=ABCA4D7AF70FF7C9E04F26B00B7D3081C71AFB4D9A38EEA1F73E689383D704C7EE96461303E3828Dk4i1H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consultantplus://offline/ref=ABCA4D7AF70FF7C9E04F26B00B7D3081C71AFB4D9A38EEA1F73E689383D704C7EE96461303E3828Dk4i1H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consultantplus://offline/ref=ABCA4D7AF70FF7C9E04F26B00B7D3081C71AFD47993AEEA1F73E689383D704C7EE96461Bk0i2H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consultantplus://offline/ref=ABCA4D7AF70FF7C9E04F26B00B7D3081C71AFD47993AEEA1F73E689383D704C7EE96461Ak0i4H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cp:lastModifiedBy>Admin</cp:lastModifiedBy>
  <cp:revision>29</cp:revision>
  <cp:lastPrinted>2017-01-10T07:23:00Z</cp:lastPrinted>
  <dcterms:created xsi:type="dcterms:W3CDTF">2017-01-17T08:30:00Z</dcterms:created>
  <dcterms:modified xsi:type="dcterms:W3CDTF">2017-01-17T12:40:00Z</dcterms:modified>
</cp:coreProperties>
</file>