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(Межрайонная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706B2F" w:rsidRDefault="00700998" w:rsidP="00985B3F">
            <w:pPr>
              <w:pStyle w:val="a3"/>
              <w:rPr>
                <w:sz w:val="24"/>
                <w:szCs w:val="24"/>
                <w:lang w:val="ru-RU" w:eastAsia="ru-RU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41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60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7109" w:rsidRDefault="00AE1C93" w:rsidP="00AE1C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665F84" w:rsidRDefault="00665F84" w:rsidP="00665F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Изменения в законодательстве</w:t>
      </w:r>
      <w:r>
        <w:rPr>
          <w:sz w:val="22"/>
          <w:szCs w:val="22"/>
        </w:rPr>
        <w:t xml:space="preserve"> н</w:t>
      </w:r>
      <w:r>
        <w:rPr>
          <w:b/>
          <w:sz w:val="22"/>
          <w:szCs w:val="22"/>
        </w:rPr>
        <w:t>алога на имущество физических лиц</w:t>
      </w:r>
    </w:p>
    <w:p w:rsidR="00665F84" w:rsidRDefault="00665F84" w:rsidP="00665F84">
      <w:pPr>
        <w:jc w:val="center"/>
        <w:rPr>
          <w:b/>
          <w:sz w:val="22"/>
          <w:szCs w:val="22"/>
        </w:rPr>
      </w:pPr>
    </w:p>
    <w:p w:rsidR="00665F84" w:rsidRDefault="00665F84" w:rsidP="00665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Поскольку в Орловской области кадастровая стоимость применяется в качестве налоговой базы второй год, при расчете налога на имущество за налоговый период 2018 года применяется  коэффициент 0.4 (в 2018 году был 0.2). Коэффициенты в других регионах России имеют отличные значения в зависимости от периода применения кадастровой стоимости в качестве налоговой базы. </w:t>
      </w:r>
    </w:p>
    <w:p w:rsidR="00665F84" w:rsidRDefault="00665F84" w:rsidP="00665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5 кв.м общей площади квартиры, части квартиры, комнаты и 7 кв.м общей площади жилого дома, части жилого дома в расчете на каждого несовершеннолетнего ребенка . </w:t>
      </w:r>
    </w:p>
    <w:p w:rsidR="00665F84" w:rsidRDefault="00665F84" w:rsidP="00665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 налогового периода 2018 года для относящихся ко льготным категориям налогоплательщиков (пенсионеры, инвалиды, многодетные, владельцы </w:t>
      </w:r>
      <w:proofErr w:type="spellStart"/>
      <w:r>
        <w:rPr>
          <w:sz w:val="22"/>
          <w:szCs w:val="22"/>
        </w:rPr>
        <w:t>хозпостроек</w:t>
      </w:r>
      <w:proofErr w:type="spellEnd"/>
      <w:r>
        <w:rPr>
          <w:sz w:val="22"/>
          <w:szCs w:val="22"/>
        </w:rPr>
        <w:t xml:space="preserve"> площадью не более 50 кв.м) установлен </w:t>
      </w:r>
      <w:proofErr w:type="spellStart"/>
      <w:r>
        <w:rPr>
          <w:sz w:val="22"/>
          <w:szCs w:val="22"/>
        </w:rPr>
        <w:t>беззаявительный</w:t>
      </w:r>
      <w:proofErr w:type="spellEnd"/>
      <w:r>
        <w:rPr>
          <w:sz w:val="22"/>
          <w:szCs w:val="22"/>
        </w:rPr>
        <w:t xml:space="preserve"> порядок предоставления налоговых льгот (в т.ч. налоговых вычетов). Если у налоговых органов уже имеются сведения о таких лицах (например, инвалидом была заявлена льгота по транспортному налогу, пенсионер воспользовался льготой, освобождающей от уплаты земельного налога), тогда с заявлением о предоставлении налоговых льгот обращаться не потребуется, налоговая льгота будет применена автоматически. </w:t>
      </w:r>
    </w:p>
    <w:p w:rsidR="00665F84" w:rsidRDefault="00665F84" w:rsidP="00665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 текущего года налог не начисляется в отношении полностью разрушенного или уничтоженного объекта капитального строительства с 1-ого числа месяца гибели или уничтожения такого объекта, независимо от даты регистрации прекращения права на него в Едином государственном реестре недвижимости.</w:t>
      </w:r>
    </w:p>
    <w:p w:rsidR="00665F84" w:rsidRDefault="00665F84" w:rsidP="00665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 2019 года действует запрет на перерасчет налога, если такой перерасчет влечет увеличение ранее уплаченного налога.</w:t>
      </w:r>
    </w:p>
    <w:p w:rsidR="00665F84" w:rsidRDefault="00665F84" w:rsidP="00665F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(подробную информацию можно получить с помощью интернет-сервиса «Справочная информация о ставках и льготах по имущественным налогам»).</w:t>
      </w:r>
    </w:p>
    <w:p w:rsidR="00C072E2" w:rsidRPr="00187C65" w:rsidRDefault="00C072E2" w:rsidP="00C072E2">
      <w:pPr>
        <w:jc w:val="both"/>
        <w:rPr>
          <w:sz w:val="22"/>
          <w:szCs w:val="22"/>
        </w:rPr>
      </w:pPr>
    </w:p>
    <w:p w:rsidR="00C072E2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C76957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>Советник государственной гражданской</w:t>
      </w:r>
    </w:p>
    <w:p w:rsidR="00C072E2" w:rsidRPr="00187C65" w:rsidRDefault="00C072E2" w:rsidP="00C072E2">
      <w:pPr>
        <w:tabs>
          <w:tab w:val="left" w:pos="8505"/>
        </w:tabs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службы Российской Федерации </w:t>
      </w:r>
      <w:r w:rsidR="00665F84">
        <w:rPr>
          <w:sz w:val="22"/>
          <w:szCs w:val="22"/>
        </w:rPr>
        <w:t>3</w:t>
      </w:r>
      <w:r w:rsidRPr="00187C65">
        <w:rPr>
          <w:sz w:val="22"/>
          <w:szCs w:val="22"/>
        </w:rPr>
        <w:t xml:space="preserve"> класса</w:t>
      </w:r>
      <w:r w:rsidRPr="00187C65">
        <w:rPr>
          <w:sz w:val="22"/>
          <w:szCs w:val="22"/>
        </w:rPr>
        <w:tab/>
        <w:t>А.</w:t>
      </w:r>
      <w:r w:rsidR="00665F84">
        <w:rPr>
          <w:sz w:val="22"/>
          <w:szCs w:val="22"/>
        </w:rPr>
        <w:t>А.Дудоладов</w:t>
      </w:r>
    </w:p>
    <w:p w:rsidR="007A168F" w:rsidRPr="00C76957" w:rsidRDefault="007A168F" w:rsidP="00C072E2">
      <w:pPr>
        <w:ind w:firstLine="709"/>
        <w:jc w:val="both"/>
        <w:rPr>
          <w:sz w:val="24"/>
          <w:szCs w:val="24"/>
        </w:rPr>
      </w:pP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ED" w:rsidRDefault="00A45DED">
      <w:r>
        <w:separator/>
      </w:r>
    </w:p>
  </w:endnote>
  <w:endnote w:type="continuationSeparator" w:id="0">
    <w:p w:rsidR="00A45DED" w:rsidRDefault="00A4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ED" w:rsidRDefault="00A45DED">
      <w:r>
        <w:separator/>
      </w:r>
    </w:p>
  </w:footnote>
  <w:footnote w:type="continuationSeparator" w:id="0">
    <w:p w:rsidR="00A45DED" w:rsidRDefault="00A4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67147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3398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7109"/>
    <w:rsid w:val="00416016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C6280"/>
    <w:rsid w:val="004D36F4"/>
    <w:rsid w:val="004D5E97"/>
    <w:rsid w:val="004E32D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395E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1464D"/>
    <w:rsid w:val="00620722"/>
    <w:rsid w:val="0062087D"/>
    <w:rsid w:val="0062760F"/>
    <w:rsid w:val="006344FD"/>
    <w:rsid w:val="00645F46"/>
    <w:rsid w:val="0064797C"/>
    <w:rsid w:val="00653255"/>
    <w:rsid w:val="00655A67"/>
    <w:rsid w:val="00662BB7"/>
    <w:rsid w:val="00662FF5"/>
    <w:rsid w:val="00664AF9"/>
    <w:rsid w:val="00665F84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06B2F"/>
    <w:rsid w:val="00712395"/>
    <w:rsid w:val="0072183C"/>
    <w:rsid w:val="007234D7"/>
    <w:rsid w:val="00727842"/>
    <w:rsid w:val="00733582"/>
    <w:rsid w:val="00735D0A"/>
    <w:rsid w:val="00740097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24799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B62BE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9F781D"/>
    <w:rsid w:val="009F786B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45DED"/>
    <w:rsid w:val="00A50561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1C93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258D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072E2"/>
    <w:rsid w:val="00C14249"/>
    <w:rsid w:val="00C16F0E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85C0D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335D8"/>
    <w:rsid w:val="00E4066E"/>
    <w:rsid w:val="00E41095"/>
    <w:rsid w:val="00E444AC"/>
    <w:rsid w:val="00E5579D"/>
    <w:rsid w:val="00E64456"/>
    <w:rsid w:val="00E67515"/>
    <w:rsid w:val="00E7373A"/>
    <w:rsid w:val="00E8404F"/>
    <w:rsid w:val="00E87A08"/>
    <w:rsid w:val="00E90840"/>
    <w:rsid w:val="00E92956"/>
    <w:rsid w:val="00EA102B"/>
    <w:rsid w:val="00EB3548"/>
    <w:rsid w:val="00EB5FEE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rFonts w:ascii="Cambria" w:hAnsi="Cambria"/>
      <w:b/>
      <w:bCs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  <w:lang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sz w:val="2"/>
      <w:lang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  <w:rPr>
      <w:snapToGrid w:val="0"/>
    </w:r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FF6D-7C06-41A3-93C9-8DC11940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2018-11-10T09:33:00Z</cp:lastPrinted>
  <dcterms:created xsi:type="dcterms:W3CDTF">2019-07-16T08:19:00Z</dcterms:created>
  <dcterms:modified xsi:type="dcterms:W3CDTF">2019-07-16T08:19:00Z</dcterms:modified>
</cp:coreProperties>
</file>