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left w:w="89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D565B3" w:rsidP="00D56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52C6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552C6B">
              <w:rPr>
                <w:sz w:val="24"/>
                <w:szCs w:val="24"/>
              </w:rPr>
              <w:t>.201</w:t>
            </w:r>
            <w:r w:rsidR="001C152E">
              <w:rPr>
                <w:sz w:val="24"/>
                <w:szCs w:val="24"/>
              </w:rPr>
              <w:t>5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655082" w:rsidRDefault="00655082" w:rsidP="007B0911">
      <w:pPr>
        <w:pStyle w:val="ConsPlusNormal"/>
        <w:ind w:firstLine="540"/>
        <w:jc w:val="both"/>
        <w:rPr>
          <w:sz w:val="28"/>
          <w:szCs w:val="28"/>
        </w:rPr>
      </w:pPr>
    </w:p>
    <w:p w:rsidR="00E66455" w:rsidRDefault="00E66455" w:rsidP="00E66455">
      <w:pPr>
        <w:autoSpaceDE w:val="0"/>
        <w:autoSpaceDN w:val="0"/>
        <w:adjustRightInd w:val="0"/>
        <w:ind w:firstLine="709"/>
        <w:jc w:val="center"/>
        <w:rPr>
          <w:rFonts w:ascii="DIN Pro Regular" w:hAnsi="DIN Pro Regular"/>
          <w:color w:val="000000"/>
          <w:sz w:val="28"/>
          <w:szCs w:val="28"/>
        </w:rPr>
      </w:pPr>
      <w:r>
        <w:rPr>
          <w:rFonts w:ascii="DIN Pro Regular" w:hAnsi="DIN Pro Regular"/>
          <w:color w:val="000000"/>
          <w:sz w:val="28"/>
          <w:szCs w:val="28"/>
        </w:rPr>
        <w:t>Уважаемые налогоплательщики!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32"/>
          <w:szCs w:val="32"/>
        </w:rPr>
        <w:t>с 01.01.2016г.</w:t>
      </w:r>
      <w:r>
        <w:rPr>
          <w:rFonts w:ascii="DIN Pro Regular" w:hAnsi="DIN Pro Regular"/>
          <w:color w:val="000000"/>
          <w:sz w:val="24"/>
          <w:szCs w:val="24"/>
        </w:rPr>
        <w:t xml:space="preserve">  </w:t>
      </w:r>
      <w:r>
        <w:rPr>
          <w:rFonts w:ascii="DIN Pro Regular" w:hAnsi="DIN Pro Regular"/>
          <w:b/>
          <w:color w:val="000000"/>
          <w:sz w:val="24"/>
          <w:szCs w:val="24"/>
        </w:rPr>
        <w:t>в части государственной регистрации Юридических лиц</w:t>
      </w:r>
      <w:r>
        <w:rPr>
          <w:rFonts w:ascii="DIN Pro Regular" w:hAnsi="DIN Pro Regular"/>
          <w:color w:val="000000"/>
          <w:sz w:val="24"/>
          <w:szCs w:val="24"/>
        </w:rPr>
        <w:t xml:space="preserve"> (ФЗ от 30.03.2015г. № 67-ФЗ</w:t>
      </w:r>
      <w:r>
        <w:rPr>
          <w:rFonts w:ascii="DIN Pro Regular" w:hAnsi="DIN Pro Regular"/>
          <w:b/>
          <w:color w:val="000000"/>
          <w:sz w:val="24"/>
          <w:szCs w:val="24"/>
        </w:rPr>
        <w:t>) вступают в силу</w:t>
      </w:r>
      <w:r>
        <w:rPr>
          <w:rFonts w:ascii="DIN Pro Regular" w:hAnsi="DIN Pro Regular"/>
          <w:color w:val="000000"/>
          <w:sz w:val="24"/>
          <w:szCs w:val="24"/>
        </w:rPr>
        <w:t xml:space="preserve"> следующие изменения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b/>
          <w:color w:val="000000"/>
          <w:sz w:val="24"/>
          <w:szCs w:val="24"/>
        </w:rPr>
        <w:t xml:space="preserve">1. </w:t>
      </w:r>
      <w:r>
        <w:rPr>
          <w:rFonts w:ascii="DIN Pro Regular" w:hAnsi="DIN Pro Regular"/>
          <w:color w:val="000000"/>
          <w:sz w:val="24"/>
          <w:szCs w:val="24"/>
        </w:rPr>
        <w:t xml:space="preserve"> Введена </w:t>
      </w:r>
      <w:r>
        <w:rPr>
          <w:rFonts w:ascii="DIN Pro Regular" w:hAnsi="DIN Pro Regular"/>
          <w:b/>
          <w:color w:val="000000"/>
          <w:sz w:val="24"/>
          <w:szCs w:val="24"/>
        </w:rPr>
        <w:t>процедура проведения</w:t>
      </w:r>
      <w:r>
        <w:rPr>
          <w:rFonts w:ascii="DIN Pro Regular" w:hAnsi="DIN Pro Regular"/>
          <w:color w:val="000000"/>
          <w:sz w:val="24"/>
          <w:szCs w:val="24"/>
        </w:rPr>
        <w:t xml:space="preserve"> предусмотренной Гражданским кодексом Российской Федерации </w:t>
      </w:r>
      <w:r>
        <w:rPr>
          <w:rFonts w:ascii="DIN Pro Regular" w:hAnsi="DIN Pro Regular"/>
          <w:b/>
          <w:color w:val="000000"/>
          <w:sz w:val="24"/>
          <w:szCs w:val="24"/>
        </w:rPr>
        <w:t>проверки достоверности сведений</w:t>
      </w:r>
      <w:r>
        <w:rPr>
          <w:rFonts w:ascii="DIN Pro Regular" w:hAnsi="DIN Pro Regular"/>
          <w:color w:val="000000"/>
          <w:sz w:val="24"/>
          <w:szCs w:val="24"/>
        </w:rPr>
        <w:t xml:space="preserve">, включаемых (до регистрации) или уже включенных в Единый государственный реестр юридических лиц (далее – ЕГРЮЛ). В случае выявления оснований для проведения проверки до государственной регистрации </w:t>
      </w:r>
      <w:r>
        <w:rPr>
          <w:rFonts w:ascii="DIN Pro Regular" w:hAnsi="DIN Pro Regular"/>
          <w:b/>
          <w:color w:val="000000"/>
          <w:sz w:val="24"/>
          <w:szCs w:val="24"/>
        </w:rPr>
        <w:t>предусмотрена возможность приостановления государственной регистрации не более чем на один месяц.</w:t>
      </w:r>
      <w:r>
        <w:rPr>
          <w:rFonts w:ascii="DIN Pro Regular" w:hAnsi="DIN Pro Regular"/>
          <w:color w:val="000000"/>
          <w:sz w:val="24"/>
          <w:szCs w:val="24"/>
        </w:rPr>
        <w:t xml:space="preserve"> Для вновь </w:t>
      </w:r>
      <w:proofErr w:type="gramStart"/>
      <w:r>
        <w:rPr>
          <w:rFonts w:ascii="DIN Pro Regular" w:hAnsi="DIN Pro Regular"/>
          <w:color w:val="000000"/>
          <w:sz w:val="24"/>
          <w:szCs w:val="24"/>
        </w:rPr>
        <w:t>создаваемых</w:t>
      </w:r>
      <w:proofErr w:type="gramEnd"/>
      <w:r>
        <w:rPr>
          <w:rFonts w:ascii="DIN Pro Regular" w:hAnsi="DIN Pro Regular"/>
          <w:color w:val="000000"/>
          <w:sz w:val="24"/>
          <w:szCs w:val="24"/>
        </w:rPr>
        <w:t xml:space="preserve"> юридических лиц процедура приостановления государственной регистрации не применяется.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t>Основанием для проведения проверки является возникновение у регистрирующего органа обоснованных сомнений в их достоверности, в том числе в случае поступления возражений заинтересованных лиц относительно предстоящей государственной регистрации изменений устава юридического лица или предстоящего включения сведений в ЕГРЮЛ.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b/>
          <w:color w:val="000000"/>
          <w:sz w:val="24"/>
          <w:szCs w:val="24"/>
        </w:rPr>
        <w:t>2.</w:t>
      </w:r>
      <w:r>
        <w:rPr>
          <w:rFonts w:ascii="DIN Pro Regular" w:hAnsi="DIN Pro Regular"/>
          <w:color w:val="000000"/>
          <w:sz w:val="24"/>
          <w:szCs w:val="24"/>
        </w:rPr>
        <w:t xml:space="preserve"> Установлена возможность внесения записи о недостоверности сведений о юридическом лице самим регистрирующим органом без заявлений юридического лица и вынесения судебных актов.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t>Данная запись может быть внесена в отношении сведений о юридическом лице, предусмотренных подпунктами "в", "д" и (или) "л" пункта 1 статьи 5 Федерального закона Федеральный закон от 8 августа 2001 года № 129-ФЗ  (в отношении сведений об адресе, месте нахождения юридического лица, руководителе и (или) учредителе (участнике) юридического лица и др.).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b/>
          <w:color w:val="000000"/>
          <w:sz w:val="24"/>
          <w:szCs w:val="24"/>
        </w:rPr>
        <w:t>3.</w:t>
      </w:r>
      <w:r>
        <w:rPr>
          <w:rFonts w:ascii="DIN Pro Regular" w:hAnsi="DIN Pro Regular"/>
          <w:color w:val="000000"/>
          <w:sz w:val="24"/>
          <w:szCs w:val="24"/>
        </w:rPr>
        <w:t xml:space="preserve"> </w:t>
      </w:r>
      <w:r>
        <w:rPr>
          <w:rFonts w:ascii="DIN Pro Regular" w:hAnsi="DIN Pro Regular"/>
          <w:b/>
          <w:color w:val="000000"/>
          <w:sz w:val="24"/>
          <w:szCs w:val="24"/>
        </w:rPr>
        <w:t>Введены дополнительные основания для отказа в государственной регистрации</w:t>
      </w:r>
      <w:r>
        <w:rPr>
          <w:rFonts w:ascii="DIN Pro Regular" w:hAnsi="DIN Pro Regular"/>
          <w:color w:val="000000"/>
          <w:sz w:val="24"/>
          <w:szCs w:val="24"/>
        </w:rPr>
        <w:t xml:space="preserve"> для определённых категорий лиц, задействованных ранее в деятельности юридических лиц, нарушивших законодательство.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t>Ограничения на три года для внесения в ЕГРЮЛ сведений о лице как о постоянно действующем исполнительном органе или участнике (учредителе) юридического лица будут применяться в случае наличия у данного лица подобного статуса в отношении юридического лица: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t>исключенного из реестра как недействующее юридическое лицо с задолженностью перед бюджетом (также при её списании по причине наличия у юридического лица признаков недействующего);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t xml:space="preserve">по </w:t>
      </w:r>
      <w:proofErr w:type="gramStart"/>
      <w:r>
        <w:rPr>
          <w:rFonts w:ascii="DIN Pro Regular" w:hAnsi="DIN Pro Regular"/>
          <w:color w:val="000000"/>
          <w:sz w:val="24"/>
          <w:szCs w:val="24"/>
        </w:rPr>
        <w:t>которому</w:t>
      </w:r>
      <w:proofErr w:type="gramEnd"/>
      <w:r>
        <w:rPr>
          <w:rFonts w:ascii="DIN Pro Regular" w:hAnsi="DIN Pro Regular"/>
          <w:color w:val="000000"/>
          <w:sz w:val="24"/>
          <w:szCs w:val="24"/>
        </w:rPr>
        <w:t xml:space="preserve"> в ЕГРЮЛ содержится запись о недостоверности;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t xml:space="preserve">по </w:t>
      </w:r>
      <w:proofErr w:type="gramStart"/>
      <w:r>
        <w:rPr>
          <w:rFonts w:ascii="DIN Pro Regular" w:hAnsi="DIN Pro Regular"/>
          <w:color w:val="000000"/>
          <w:sz w:val="24"/>
          <w:szCs w:val="24"/>
        </w:rPr>
        <w:t>которому</w:t>
      </w:r>
      <w:proofErr w:type="gramEnd"/>
      <w:r>
        <w:rPr>
          <w:rFonts w:ascii="DIN Pro Regular" w:hAnsi="DIN Pro Regular"/>
          <w:color w:val="000000"/>
          <w:sz w:val="24"/>
          <w:szCs w:val="24"/>
        </w:rPr>
        <w:t xml:space="preserve"> не исполнено решение суда о принудительной ликвидации.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lastRenderedPageBreak/>
        <w:t>Введено основание для отказа в государственной регистрации общего характера - несоблюдение установленного законодательством Российской Федерации порядка проведения процедуры ликвидации или реорганизации юридического лица, а также иных требований, установленных настоящим Федеральным законом в качестве обязательных для осуществления государственной регистрации.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b/>
          <w:color w:val="000000"/>
          <w:sz w:val="24"/>
          <w:szCs w:val="24"/>
        </w:rPr>
        <w:t>4.</w:t>
      </w:r>
      <w:r>
        <w:rPr>
          <w:rFonts w:ascii="DIN Pro Regular" w:hAnsi="DIN Pro Regular"/>
          <w:color w:val="000000"/>
          <w:sz w:val="24"/>
          <w:szCs w:val="24"/>
        </w:rPr>
        <w:t xml:space="preserve"> </w:t>
      </w:r>
      <w:r>
        <w:rPr>
          <w:rFonts w:ascii="DIN Pro Regular" w:hAnsi="DIN Pro Regular"/>
          <w:b/>
          <w:color w:val="000000"/>
          <w:sz w:val="24"/>
          <w:szCs w:val="24"/>
        </w:rPr>
        <w:t>Введена процедура предварительного уведомления об изменении места нахождения юридического лица.</w:t>
      </w:r>
      <w:r>
        <w:rPr>
          <w:rFonts w:ascii="DIN Pro Regular" w:hAnsi="DIN Pro Regular"/>
          <w:color w:val="000000"/>
          <w:sz w:val="24"/>
          <w:szCs w:val="24"/>
        </w:rPr>
        <w:t xml:space="preserve"> Представление документов для регистрации изменения места нахождения запрещено до истечения 20 дней с момента внесения соответствующей записи в ЕГРЮЛ.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t>Регистрация изменения места нахождения юридического лица будет осуществляться инспекцией по новому месту нахождения.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t>Кроме того изменено взаимодействие с нотариусами: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t>регистрирующий орган получил доступ к сведениям о совершенных нотариальных действиях;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t>заявителем  по подлежащим нотариальному удостоверению сделкам о переходе либо залога доли или части доли в уставном капитале общества с ограниченной ответственностью будет  являться нотариус;</w:t>
      </w:r>
    </w:p>
    <w:p w:rsidR="00E66455" w:rsidRDefault="00E66455" w:rsidP="00E66455">
      <w:pPr>
        <w:autoSpaceDE w:val="0"/>
        <w:autoSpaceDN w:val="0"/>
        <w:adjustRightInd w:val="0"/>
        <w:ind w:firstLine="709"/>
        <w:jc w:val="both"/>
        <w:rPr>
          <w:rFonts w:ascii="DIN Pro Regular" w:hAnsi="DIN Pro Regular"/>
          <w:color w:val="000000"/>
          <w:sz w:val="24"/>
          <w:szCs w:val="24"/>
        </w:rPr>
      </w:pPr>
      <w:r>
        <w:rPr>
          <w:rFonts w:ascii="DIN Pro Regular" w:hAnsi="DIN Pro Regular"/>
          <w:color w:val="000000"/>
          <w:sz w:val="24"/>
          <w:szCs w:val="24"/>
        </w:rPr>
        <w:t xml:space="preserve">предусмотрена возможность представления (получения) документов в регистрирующий орган по просьбе заявителя нотариусом в электронном виде. </w:t>
      </w:r>
    </w:p>
    <w:p w:rsidR="00D565B3" w:rsidRDefault="00D565B3" w:rsidP="007129BB">
      <w:pPr>
        <w:pStyle w:val="ConsPlusNormal"/>
        <w:ind w:firstLine="540"/>
        <w:jc w:val="both"/>
        <w:rPr>
          <w:sz w:val="28"/>
          <w:szCs w:val="28"/>
        </w:rPr>
      </w:pPr>
    </w:p>
    <w:p w:rsidR="00D565B3" w:rsidRDefault="00D565B3" w:rsidP="007129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7586" w:rsidRDefault="00057586" w:rsidP="0005758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D25C9" w:rsidRPr="00E06ACF" w:rsidRDefault="001D25C9" w:rsidP="001D25C9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1D25C9" w:rsidRDefault="001D25C9" w:rsidP="001D25C9">
      <w:pPr>
        <w:rPr>
          <w:sz w:val="28"/>
          <w:szCs w:val="28"/>
        </w:rPr>
      </w:pPr>
      <w:r w:rsidRPr="00E06ACF">
        <w:rPr>
          <w:szCs w:val="26"/>
        </w:rPr>
        <w:t>Российской Федерации  1 класса</w:t>
      </w:r>
      <w:r w:rsidRPr="00E06ACF">
        <w:rPr>
          <w:szCs w:val="26"/>
        </w:rPr>
        <w:tab/>
      </w:r>
      <w:r w:rsidRPr="00E06ACF">
        <w:rPr>
          <w:szCs w:val="26"/>
        </w:rPr>
        <w:tab/>
      </w:r>
      <w:r w:rsidRPr="00E06ACF">
        <w:rPr>
          <w:szCs w:val="26"/>
        </w:rPr>
        <w:tab/>
      </w:r>
      <w:r>
        <w:t xml:space="preserve">             </w:t>
      </w:r>
      <w:r>
        <w:tab/>
      </w:r>
      <w:proofErr w:type="spellStart"/>
      <w:r>
        <w:t>Краличев</w:t>
      </w:r>
      <w:proofErr w:type="spellEnd"/>
      <w:r>
        <w:t xml:space="preserve"> И.Н.</w:t>
      </w: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129BB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p w:rsidR="009E2FFC" w:rsidRDefault="003D643D" w:rsidP="001D25C9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</w:rPr>
        <w:t xml:space="preserve"> 73-56-11</w:t>
      </w:r>
    </w:p>
    <w:sectPr w:rsidR="009E2FFC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B90" w:rsidRDefault="00A27B90">
      <w:r>
        <w:separator/>
      </w:r>
    </w:p>
  </w:endnote>
  <w:endnote w:type="continuationSeparator" w:id="0">
    <w:p w:rsidR="00A27B90" w:rsidRDefault="00A27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IN Pro 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B90" w:rsidRDefault="00A27B90">
      <w:r>
        <w:separator/>
      </w:r>
    </w:p>
  </w:footnote>
  <w:footnote w:type="continuationSeparator" w:id="0">
    <w:p w:rsidR="00A27B90" w:rsidRDefault="00A27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31D19"/>
    <w:rsid w:val="00044706"/>
    <w:rsid w:val="00057586"/>
    <w:rsid w:val="0006261E"/>
    <w:rsid w:val="00080EAC"/>
    <w:rsid w:val="000863DF"/>
    <w:rsid w:val="00093B11"/>
    <w:rsid w:val="000B3805"/>
    <w:rsid w:val="000D225E"/>
    <w:rsid w:val="000D69CE"/>
    <w:rsid w:val="000F11C0"/>
    <w:rsid w:val="000F7ED7"/>
    <w:rsid w:val="00107E76"/>
    <w:rsid w:val="001172E4"/>
    <w:rsid w:val="001433BC"/>
    <w:rsid w:val="00170AE0"/>
    <w:rsid w:val="001762CE"/>
    <w:rsid w:val="00186CAB"/>
    <w:rsid w:val="00196621"/>
    <w:rsid w:val="001A1A1E"/>
    <w:rsid w:val="001B0759"/>
    <w:rsid w:val="001C152E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87C42"/>
    <w:rsid w:val="0029738D"/>
    <w:rsid w:val="00297CC3"/>
    <w:rsid w:val="002A36C3"/>
    <w:rsid w:val="002A4E1B"/>
    <w:rsid w:val="002B1738"/>
    <w:rsid w:val="00315998"/>
    <w:rsid w:val="00316F31"/>
    <w:rsid w:val="00334722"/>
    <w:rsid w:val="00335965"/>
    <w:rsid w:val="00343576"/>
    <w:rsid w:val="003453BC"/>
    <w:rsid w:val="0037685E"/>
    <w:rsid w:val="00376F9E"/>
    <w:rsid w:val="00391675"/>
    <w:rsid w:val="003932B8"/>
    <w:rsid w:val="003B4B79"/>
    <w:rsid w:val="003C2A29"/>
    <w:rsid w:val="003C39E0"/>
    <w:rsid w:val="003C47AF"/>
    <w:rsid w:val="003D2076"/>
    <w:rsid w:val="003D2451"/>
    <w:rsid w:val="003D3E07"/>
    <w:rsid w:val="003D643D"/>
    <w:rsid w:val="003F05E7"/>
    <w:rsid w:val="004243F7"/>
    <w:rsid w:val="00425B03"/>
    <w:rsid w:val="00431686"/>
    <w:rsid w:val="00443989"/>
    <w:rsid w:val="004553C1"/>
    <w:rsid w:val="004637BC"/>
    <w:rsid w:val="0047463B"/>
    <w:rsid w:val="00490D28"/>
    <w:rsid w:val="0049271E"/>
    <w:rsid w:val="004F7B21"/>
    <w:rsid w:val="005016D5"/>
    <w:rsid w:val="00505DE0"/>
    <w:rsid w:val="00510E6B"/>
    <w:rsid w:val="00514FF3"/>
    <w:rsid w:val="00537654"/>
    <w:rsid w:val="00540DA6"/>
    <w:rsid w:val="00552C6B"/>
    <w:rsid w:val="00564007"/>
    <w:rsid w:val="005718B8"/>
    <w:rsid w:val="00596A04"/>
    <w:rsid w:val="005E58F5"/>
    <w:rsid w:val="005F3E5A"/>
    <w:rsid w:val="005F78A0"/>
    <w:rsid w:val="0060013A"/>
    <w:rsid w:val="006114E7"/>
    <w:rsid w:val="00620636"/>
    <w:rsid w:val="006344FD"/>
    <w:rsid w:val="00645F46"/>
    <w:rsid w:val="0064797C"/>
    <w:rsid w:val="0065088E"/>
    <w:rsid w:val="00655082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3034"/>
    <w:rsid w:val="00700A79"/>
    <w:rsid w:val="00712395"/>
    <w:rsid w:val="007129BB"/>
    <w:rsid w:val="007532B7"/>
    <w:rsid w:val="00780061"/>
    <w:rsid w:val="0078213F"/>
    <w:rsid w:val="00782D02"/>
    <w:rsid w:val="00794594"/>
    <w:rsid w:val="007A1CC3"/>
    <w:rsid w:val="007A78F5"/>
    <w:rsid w:val="007B0911"/>
    <w:rsid w:val="007B2E8B"/>
    <w:rsid w:val="007D5D74"/>
    <w:rsid w:val="007E6D39"/>
    <w:rsid w:val="007E76EB"/>
    <w:rsid w:val="008009B9"/>
    <w:rsid w:val="00812C99"/>
    <w:rsid w:val="00850F7C"/>
    <w:rsid w:val="00862E41"/>
    <w:rsid w:val="008A771A"/>
    <w:rsid w:val="008B62F6"/>
    <w:rsid w:val="008C0BCE"/>
    <w:rsid w:val="008D669F"/>
    <w:rsid w:val="008D66EB"/>
    <w:rsid w:val="008F0FCA"/>
    <w:rsid w:val="008F174C"/>
    <w:rsid w:val="008F5F6F"/>
    <w:rsid w:val="00921EE2"/>
    <w:rsid w:val="00943766"/>
    <w:rsid w:val="00951A15"/>
    <w:rsid w:val="00962E2C"/>
    <w:rsid w:val="00966D00"/>
    <w:rsid w:val="00973BFB"/>
    <w:rsid w:val="00977FF3"/>
    <w:rsid w:val="00990C88"/>
    <w:rsid w:val="0099442F"/>
    <w:rsid w:val="009A107B"/>
    <w:rsid w:val="009B5457"/>
    <w:rsid w:val="009C0CC1"/>
    <w:rsid w:val="009D3935"/>
    <w:rsid w:val="009D5FDF"/>
    <w:rsid w:val="009E2FFC"/>
    <w:rsid w:val="00A10624"/>
    <w:rsid w:val="00A14927"/>
    <w:rsid w:val="00A15361"/>
    <w:rsid w:val="00A27B90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D4F8B"/>
    <w:rsid w:val="00AE72C3"/>
    <w:rsid w:val="00B043D4"/>
    <w:rsid w:val="00B051B4"/>
    <w:rsid w:val="00B06EB3"/>
    <w:rsid w:val="00B17AD7"/>
    <w:rsid w:val="00B42C85"/>
    <w:rsid w:val="00B43FEB"/>
    <w:rsid w:val="00B635EB"/>
    <w:rsid w:val="00B674C8"/>
    <w:rsid w:val="00B70EB7"/>
    <w:rsid w:val="00B94257"/>
    <w:rsid w:val="00BC2803"/>
    <w:rsid w:val="00BD0306"/>
    <w:rsid w:val="00C048C4"/>
    <w:rsid w:val="00C17D10"/>
    <w:rsid w:val="00C30E38"/>
    <w:rsid w:val="00C4329E"/>
    <w:rsid w:val="00C4580A"/>
    <w:rsid w:val="00C5186B"/>
    <w:rsid w:val="00C556B9"/>
    <w:rsid w:val="00C71317"/>
    <w:rsid w:val="00C8337F"/>
    <w:rsid w:val="00C8731C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565B3"/>
    <w:rsid w:val="00D738BB"/>
    <w:rsid w:val="00DA6FFA"/>
    <w:rsid w:val="00DB1C0B"/>
    <w:rsid w:val="00E01854"/>
    <w:rsid w:val="00E05C69"/>
    <w:rsid w:val="00E2238D"/>
    <w:rsid w:val="00E62407"/>
    <w:rsid w:val="00E66455"/>
    <w:rsid w:val="00E67515"/>
    <w:rsid w:val="00E7373A"/>
    <w:rsid w:val="00E90840"/>
    <w:rsid w:val="00E92956"/>
    <w:rsid w:val="00EB3548"/>
    <w:rsid w:val="00EC13B2"/>
    <w:rsid w:val="00EF3B4F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C6337"/>
    <w:rsid w:val="00FC66FB"/>
    <w:rsid w:val="00FD5184"/>
    <w:rsid w:val="00FD61FA"/>
    <w:rsid w:val="00FE1212"/>
    <w:rsid w:val="00FF266A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86B"/>
    <w:rPr>
      <w:snapToGrid w:val="0"/>
      <w:sz w:val="26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5186B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C5186B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86B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C5186B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C5186B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C5186B"/>
  </w:style>
  <w:style w:type="paragraph" w:styleId="a6">
    <w:name w:val="footnote text"/>
    <w:basedOn w:val="a"/>
    <w:semiHidden/>
    <w:rsid w:val="00C5186B"/>
    <w:rPr>
      <w:sz w:val="20"/>
    </w:rPr>
  </w:style>
  <w:style w:type="character" w:styleId="a7">
    <w:name w:val="footnote reference"/>
    <w:semiHidden/>
    <w:rsid w:val="00C5186B"/>
    <w:rPr>
      <w:vertAlign w:val="superscript"/>
    </w:rPr>
  </w:style>
  <w:style w:type="paragraph" w:styleId="31">
    <w:name w:val="Body Text Indent 3"/>
    <w:basedOn w:val="a"/>
    <w:rsid w:val="00C5186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51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C5186B"/>
    <w:rPr>
      <w:rFonts w:ascii="Tahoma" w:hAnsi="Tahoma" w:cs="Tahoma"/>
      <w:sz w:val="16"/>
      <w:szCs w:val="16"/>
    </w:rPr>
  </w:style>
  <w:style w:type="character" w:styleId="a9">
    <w:name w:val="Hyperlink"/>
    <w:rsid w:val="00C5186B"/>
    <w:rPr>
      <w:color w:val="0000FF"/>
      <w:u w:val="single"/>
    </w:rPr>
  </w:style>
  <w:style w:type="character" w:styleId="aa">
    <w:name w:val="Strong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link w:val="ab"/>
    <w:rsid w:val="00D14DAF"/>
    <w:rPr>
      <w:snapToGrid w:val="0"/>
      <w:sz w:val="26"/>
      <w:lang w:val="ru-RU" w:eastAsia="ru-RU" w:bidi="ar-SA"/>
    </w:rPr>
  </w:style>
  <w:style w:type="paragraph" w:styleId="ad">
    <w:name w:val="Normal (Web)"/>
    <w:basedOn w:val="a"/>
    <w:uiPriority w:val="99"/>
    <w:unhideWhenUsed/>
    <w:rsid w:val="00D565B3"/>
    <w:pPr>
      <w:spacing w:before="100" w:beforeAutospacing="1" w:after="100" w:afterAutospacing="1"/>
    </w:pPr>
    <w:rPr>
      <w:rFonts w:eastAsia="Calibri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Admin</cp:lastModifiedBy>
  <cp:revision>3</cp:revision>
  <cp:lastPrinted>2014-02-27T12:43:00Z</cp:lastPrinted>
  <dcterms:created xsi:type="dcterms:W3CDTF">2015-06-15T12:15:00Z</dcterms:created>
  <dcterms:modified xsi:type="dcterms:W3CDTF">2015-06-15T12:25:00Z</dcterms:modified>
</cp:coreProperties>
</file>