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56" w:rsidRDefault="00A10656" w:rsidP="00A10656">
      <w:pPr>
        <w:pStyle w:val="ConsPlusNormal"/>
        <w:jc w:val="right"/>
        <w:outlineLvl w:val="0"/>
      </w:pPr>
      <w:r>
        <w:t>Приложение</w:t>
      </w:r>
    </w:p>
    <w:p w:rsidR="00A10656" w:rsidRDefault="00A10656" w:rsidP="00A10656">
      <w:pPr>
        <w:pStyle w:val="ConsPlusNormal"/>
        <w:jc w:val="right"/>
      </w:pPr>
      <w:r>
        <w:t>к приказу Министерства</w:t>
      </w:r>
    </w:p>
    <w:p w:rsidR="00A10656" w:rsidRDefault="00A10656" w:rsidP="00A10656">
      <w:pPr>
        <w:pStyle w:val="ConsPlusNormal"/>
        <w:jc w:val="right"/>
      </w:pPr>
      <w:r>
        <w:t>строительства и жилищно-коммунального</w:t>
      </w:r>
    </w:p>
    <w:p w:rsidR="00A10656" w:rsidRDefault="00A10656" w:rsidP="00A10656">
      <w:pPr>
        <w:pStyle w:val="ConsPlusNormal"/>
        <w:jc w:val="right"/>
      </w:pPr>
      <w:r>
        <w:t>хозяйства Российской Федерации</w:t>
      </w:r>
    </w:p>
    <w:p w:rsidR="00A10656" w:rsidRDefault="00A10656" w:rsidP="00A10656">
      <w:pPr>
        <w:pStyle w:val="ConsPlusNormal"/>
        <w:jc w:val="right"/>
      </w:pPr>
      <w:r>
        <w:t>от 1 апреля 2020 г. N 180/пр</w:t>
      </w:r>
    </w:p>
    <w:p w:rsidR="00A10656" w:rsidRDefault="00A10656" w:rsidP="00A10656">
      <w:pPr>
        <w:pStyle w:val="ConsPlusNormal"/>
        <w:jc w:val="right"/>
      </w:pPr>
      <w:r>
        <w:t>Форма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475"/>
        <w:gridCol w:w="1387"/>
        <w:gridCol w:w="744"/>
        <w:gridCol w:w="340"/>
        <w:gridCol w:w="745"/>
        <w:gridCol w:w="1296"/>
        <w:gridCol w:w="8"/>
        <w:gridCol w:w="16"/>
      </w:tblGrid>
      <w:tr w:rsidR="00A10656" w:rsidTr="00BA0D6C">
        <w:trPr>
          <w:gridAfter w:val="2"/>
          <w:wAfter w:w="24" w:type="dxa"/>
        </w:trPr>
        <w:tc>
          <w:tcPr>
            <w:tcW w:w="4535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4512" w:type="dxa"/>
            <w:gridSpan w:val="5"/>
          </w:tcPr>
          <w:p w:rsidR="00A10656" w:rsidRDefault="00A10656" w:rsidP="00BA0D6C">
            <w:pPr>
              <w:pStyle w:val="ConsPlusNormal"/>
              <w:jc w:val="center"/>
            </w:pPr>
            <w:r>
              <w:t>"УТВЕРЖДАЮ"</w:t>
            </w:r>
          </w:p>
          <w:p w:rsidR="00A10656" w:rsidRDefault="00A10656" w:rsidP="00A10656">
            <w:pPr>
              <w:pStyle w:val="ConsPlusNormal"/>
              <w:jc w:val="center"/>
            </w:pPr>
            <w:r>
              <w:t>Глава Троснянского района</w:t>
            </w:r>
          </w:p>
        </w:tc>
      </w:tr>
      <w:tr w:rsidR="00A10656" w:rsidTr="00BA0D6C">
        <w:trPr>
          <w:gridAfter w:val="2"/>
          <w:wAfter w:w="24" w:type="dxa"/>
        </w:trPr>
        <w:tc>
          <w:tcPr>
            <w:tcW w:w="4535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4512" w:type="dxa"/>
            <w:gridSpan w:val="5"/>
          </w:tcPr>
          <w:p w:rsidR="00A10656" w:rsidRDefault="00A10656" w:rsidP="00BA0D6C">
            <w:pPr>
              <w:pStyle w:val="ConsPlusNormal"/>
            </w:pPr>
            <w:r>
              <w:t xml:space="preserve">                                          А.И.Насонов</w:t>
            </w:r>
          </w:p>
        </w:tc>
      </w:tr>
      <w:tr w:rsidR="00A10656" w:rsidTr="0080360D">
        <w:trPr>
          <w:gridAfter w:val="2"/>
          <w:wAfter w:w="24" w:type="dxa"/>
          <w:trHeight w:val="532"/>
        </w:trPr>
        <w:tc>
          <w:tcPr>
            <w:tcW w:w="4535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10656" w:rsidTr="00BA0D6C">
        <w:trPr>
          <w:gridAfter w:val="2"/>
          <w:wAfter w:w="24" w:type="dxa"/>
        </w:trPr>
        <w:tc>
          <w:tcPr>
            <w:tcW w:w="4535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4512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2"/>
          <w:wAfter w:w="24" w:type="dxa"/>
        </w:trPr>
        <w:tc>
          <w:tcPr>
            <w:tcW w:w="4535" w:type="dxa"/>
            <w:gridSpan w:val="5"/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4512" w:type="dxa"/>
            <w:gridSpan w:val="5"/>
          </w:tcPr>
          <w:p w:rsidR="00A10656" w:rsidRDefault="0080360D" w:rsidP="0080360D">
            <w:pPr>
              <w:pStyle w:val="ConsPlusNormal"/>
            </w:pPr>
            <w:r>
              <w:t xml:space="preserve">                                           </w:t>
            </w:r>
            <w:r w:rsidR="00A10656">
              <w:t>"1"августа 2020 г.</w:t>
            </w:r>
          </w:p>
        </w:tc>
      </w:tr>
      <w:tr w:rsidR="00A10656" w:rsidTr="00BA0D6C">
        <w:tc>
          <w:tcPr>
            <w:tcW w:w="9071" w:type="dxa"/>
            <w:gridSpan w:val="12"/>
          </w:tcPr>
          <w:p w:rsidR="00A10656" w:rsidRDefault="00A10656" w:rsidP="00BA0D6C">
            <w:pPr>
              <w:pStyle w:val="ConsPlusNormal"/>
              <w:jc w:val="center"/>
            </w:pPr>
            <w:bookmarkStart w:id="0" w:name="Par53"/>
            <w:bookmarkEnd w:id="0"/>
            <w:r>
              <w:t>Список</w:t>
            </w:r>
          </w:p>
          <w:p w:rsidR="00A10656" w:rsidRDefault="00A10656" w:rsidP="00BA0D6C">
            <w:pPr>
              <w:pStyle w:val="ConsPlusNormal"/>
              <w:jc w:val="center"/>
            </w:pPr>
            <w:r>
              <w:t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2005 г.,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80360D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bookmarkStart w:id="1" w:name="Par64"/>
            <w:bookmarkEnd w:id="1"/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jc w:val="center"/>
            </w:pPr>
            <w:r>
              <w:t>7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12 января 1995 г. N 5-ФЗ "О ветеранах" (Собрание законодательства Российской Федерации, 1995, N 3, ст. 168; 2020, N 8, ст. 913).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7" w:history="1">
              <w:r>
                <w:rPr>
                  <w:color w:val="0000FF"/>
                </w:rPr>
                <w:t>подпункте 2 пункта 3 статьи 23.2</w:t>
              </w:r>
            </w:hyperlink>
            <w:r>
              <w:t xml:space="preserve"> Федерального закона от 12 января 1995 г. N 5-ФЗ "О ветеранах".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lastRenderedPageBreak/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 </w:t>
            </w:r>
            <w:hyperlink w:anchor="Par227" w:tooltip="&lt;**&gt; В графе 2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8" w:history="1">
              <w:r>
                <w:rPr>
                  <w:color w:val="0000FF"/>
                </w:rPr>
                <w:t>подпункте 3 пункта 3 статьи 23.2</w:t>
              </w:r>
            </w:hyperlink>
            <w:r>
              <w:t xml:space="preserve"> Федерального закона от 12 января 1995 г. N 5-ФЗ "О ветеранах".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Швецов Андрей Анатольевич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03.03.</w:t>
            </w:r>
          </w:p>
          <w:p w:rsidR="00A10656" w:rsidRDefault="00A10656" w:rsidP="00BA0D6C">
            <w:pPr>
              <w:pStyle w:val="ConsPlusNormal"/>
            </w:pPr>
            <w:r>
              <w:t>1970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27.04.</w:t>
            </w:r>
          </w:p>
          <w:p w:rsidR="00A10656" w:rsidRDefault="00A10656" w:rsidP="00BA0D6C">
            <w:pPr>
              <w:pStyle w:val="ConsPlusNormal"/>
            </w:pPr>
            <w:r>
              <w:t>2001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Троснянский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</w:t>
            </w:r>
            <w:r>
              <w:lastRenderedPageBreak/>
              <w:t xml:space="preserve">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ar228" w:tooltip="&lt;***&gt; В графе 2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90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  <w:ind w:firstLine="283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Борисикова Оксана Геннадьевна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09.03.</w:t>
            </w:r>
          </w:p>
          <w:p w:rsidR="00A10656" w:rsidRDefault="00A10656" w:rsidP="00BA0D6C">
            <w:pPr>
              <w:pStyle w:val="ConsPlusNormal"/>
            </w:pPr>
            <w:r>
              <w:t>1978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15.02.</w:t>
            </w:r>
          </w:p>
          <w:p w:rsidR="00A10656" w:rsidRDefault="00A10656" w:rsidP="00BA0D6C">
            <w:pPr>
              <w:pStyle w:val="ConsPlusNormal"/>
            </w:pPr>
            <w:r>
              <w:t>2000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Троснянский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  <w:tr w:rsidR="00A10656" w:rsidTr="00BA0D6C">
        <w:trPr>
          <w:gridAfter w:val="1"/>
          <w:wAfter w:w="16" w:type="dxa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Михеев Алексей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02.06.</w:t>
            </w:r>
          </w:p>
          <w:p w:rsidR="00A10656" w:rsidRDefault="00A10656" w:rsidP="00BA0D6C">
            <w:pPr>
              <w:pStyle w:val="ConsPlusNormal"/>
            </w:pPr>
            <w:r>
              <w:t>1980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17.10.</w:t>
            </w:r>
          </w:p>
          <w:p w:rsidR="00A10656" w:rsidRDefault="00A10656" w:rsidP="00BA0D6C">
            <w:pPr>
              <w:pStyle w:val="ConsPlusNormal"/>
            </w:pPr>
            <w:r>
              <w:t>2002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  <w:r>
              <w:t>Троснянский район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6" w:rsidRDefault="00A10656" w:rsidP="00BA0D6C">
            <w:pPr>
              <w:pStyle w:val="ConsPlusNormal"/>
            </w:pPr>
          </w:p>
        </w:tc>
      </w:tr>
    </w:tbl>
    <w:p w:rsidR="00A10656" w:rsidRDefault="00A10656" w:rsidP="00A10656">
      <w:pPr>
        <w:pStyle w:val="ConsPlusNormal"/>
        <w:jc w:val="both"/>
      </w:pPr>
    </w:p>
    <w:p w:rsidR="00A10656" w:rsidRDefault="00A10656" w:rsidP="00A10656">
      <w:pPr>
        <w:pStyle w:val="ConsPlusNormal"/>
        <w:ind w:firstLine="540"/>
        <w:jc w:val="both"/>
      </w:pPr>
      <w:r>
        <w:t>--------------------------------</w:t>
      </w:r>
    </w:p>
    <w:p w:rsidR="00A10656" w:rsidRDefault="00A10656" w:rsidP="00A10656">
      <w:pPr>
        <w:pStyle w:val="ConsPlusNormal"/>
        <w:spacing w:before="240"/>
        <w:ind w:firstLine="540"/>
        <w:jc w:val="both"/>
      </w:pPr>
      <w:bookmarkStart w:id="2" w:name="Par226"/>
      <w:bookmarkEnd w:id="2"/>
      <w:r>
        <w:t>&lt;*&gt; Указывается наименование меры государственной поддержки (жилое помещение, социальная выплата либо иной способ обеспечения).</w:t>
      </w:r>
    </w:p>
    <w:p w:rsidR="00A10656" w:rsidRDefault="00A10656" w:rsidP="00A10656">
      <w:pPr>
        <w:pStyle w:val="ConsPlusNormal"/>
        <w:spacing w:before="240"/>
        <w:ind w:firstLine="540"/>
        <w:jc w:val="both"/>
      </w:pPr>
      <w:bookmarkStart w:id="3" w:name="Par227"/>
      <w:bookmarkEnd w:id="3"/>
      <w:r>
        <w:t xml:space="preserve">&lt;**&gt; В </w:t>
      </w:r>
      <w:hyperlink w:anchor="Par64" w:tooltip="2" w:history="1">
        <w:r>
          <w:rPr>
            <w:color w:val="0000FF"/>
          </w:rPr>
          <w:t>графе 2</w:t>
        </w:r>
      </w:hyperlink>
      <w:r>
        <w:t xml:space="preserve">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A10656" w:rsidRDefault="00A10656" w:rsidP="00A10656">
      <w:pPr>
        <w:pStyle w:val="ConsPlusNormal"/>
        <w:spacing w:before="240"/>
        <w:ind w:firstLine="540"/>
        <w:jc w:val="both"/>
      </w:pPr>
      <w:bookmarkStart w:id="4" w:name="Par228"/>
      <w:bookmarkEnd w:id="4"/>
      <w:r>
        <w:t xml:space="preserve">&lt;***&gt; В </w:t>
      </w:r>
      <w:hyperlink w:anchor="Par64" w:tooltip="2" w:history="1">
        <w:r>
          <w:rPr>
            <w:color w:val="0000FF"/>
          </w:rPr>
          <w:t>графе 2</w:t>
        </w:r>
      </w:hyperlink>
      <w:r>
        <w:t xml:space="preserve"> указываются дата гибели (смерти); степень родства, фамилия, имя и отчество (при наличии) члена семьи погибшего (умершего); при указании сведений о супруге погибшего (умершего) дополнительно указывается дата заключения брака.</w:t>
      </w:r>
    </w:p>
    <w:p w:rsidR="00A10656" w:rsidRDefault="00A10656" w:rsidP="00A10656">
      <w:pPr>
        <w:pStyle w:val="ConsPlusNormal"/>
        <w:jc w:val="both"/>
      </w:pPr>
    </w:p>
    <w:p w:rsidR="00A10656" w:rsidRDefault="00A10656" w:rsidP="00A10656">
      <w:pPr>
        <w:pStyle w:val="ConsPlusNormal"/>
        <w:jc w:val="both"/>
      </w:pPr>
    </w:p>
    <w:p w:rsidR="00A10656" w:rsidRDefault="00A10656" w:rsidP="00A10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906" w:rsidRDefault="00E47906"/>
    <w:sectPr w:rsidR="00E47906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7DC" w:rsidRDefault="004337DC" w:rsidP="00A10656">
      <w:pPr>
        <w:spacing w:after="0" w:line="240" w:lineRule="auto"/>
      </w:pPr>
      <w:r>
        <w:separator/>
      </w:r>
    </w:p>
  </w:endnote>
  <w:endnote w:type="continuationSeparator" w:id="0">
    <w:p w:rsidR="004337DC" w:rsidRDefault="004337DC" w:rsidP="00A1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337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00000" w:rsidRDefault="004337D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7DC" w:rsidRDefault="004337DC" w:rsidP="00A10656">
      <w:pPr>
        <w:spacing w:after="0" w:line="240" w:lineRule="auto"/>
      </w:pPr>
      <w:r>
        <w:separator/>
      </w:r>
    </w:p>
  </w:footnote>
  <w:footnote w:type="continuationSeparator" w:id="0">
    <w:p w:rsidR="004337DC" w:rsidRDefault="004337DC" w:rsidP="00A1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jc w:val="center"/>
          </w:pPr>
        </w:p>
        <w:p w:rsidR="00000000" w:rsidRDefault="004337D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337DC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4337D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4337D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656"/>
    <w:rsid w:val="004337DC"/>
    <w:rsid w:val="006C42F9"/>
    <w:rsid w:val="0075500F"/>
    <w:rsid w:val="0080360D"/>
    <w:rsid w:val="00A10656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1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065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10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065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1237&amp;date=10.08.2020&amp;dst=100420&amp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1237&amp;date=10.08.2020&amp;dst=100440&amp;fld=1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1237&amp;date=10.08.202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42577&amp;date=10.08.2020&amp;dst=10032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cp:lastPrinted>2020-08-10T08:32:00Z</cp:lastPrinted>
  <dcterms:created xsi:type="dcterms:W3CDTF">2020-08-10T07:52:00Z</dcterms:created>
  <dcterms:modified xsi:type="dcterms:W3CDTF">2020-08-10T08:32:00Z</dcterms:modified>
</cp:coreProperties>
</file>