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РОССИЙСКАЯ ФЕДЕРАЦИЯ</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ОРЛОВСКАЯ ОБЛАСТЬ</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ТРОСНЯНСКИЙ РАЙОННЫЙСОВЕТ НАРОДНЫХ ДЕПУТАТОВ</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ПОСТАНОВЛЕНИЕ</w:t>
      </w:r>
    </w:p>
    <w:p>
      <w:pPr>
        <w:jc w:val="center"/>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от 8 апреля  2010 г. №266</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 Тросна</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муниципальной целевой программе</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«Развитие отрасли культуры в Троснянском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районе на 2011-2015гг.».</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связи с реализацией стратегических целей и решений тактических задач социально-экономического развития муниципального образования Троснянского района Орловской области, Троснянский районный Совет народных депутатов ПОСТАНОВЛЯЕТ: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1.Утвердить муниципальную целевую программу «Развитие отрасли культуры в Троснянском районе на 2011-2015г.г.» (согласно приложению) (окончательная редакция)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Направить настоящее Постановление главе Троснянского района для подписания и опубликования.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Настоящее Постановление вступает в силу с момента его опубликования.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4.Контроль за исполнением данного Постановления возложить на комитет по социальным вопросам.</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Times New Roman" w:eastAsia="Times New Roman" w:hAnsi="Times New Roman" w:cs="Times New Roman"/>
          <w:sz w:val="24"/>
        </w:rPr>
      </w:pPr>
      <w:r>
        <w:rPr>
          <w:rFonts w:ascii="Arial" w:eastAsia="Arial" w:hAnsi="Arial" w:cs="Arial"/>
          <w:sz w:val="24"/>
        </w:rPr>
        <w:t xml:space="preserve">Председатель</w:t>
      </w:r>
      <w:r>
        <w:rPr>
          <w:rFonts w:ascii="Times New Roman" w:eastAsia="Times New Roman" w:hAnsi="Times New Roman" w:cs="Times New Roman"/>
          <w:sz w:val="24"/>
        </w:rPr>
        <w:t xml:space="preserve"> </w:t>
      </w:r>
      <w:r>
        <w:rPr>
          <w:rFonts w:ascii="Arial" w:eastAsia="Arial" w:hAnsi="Arial" w:cs="Arial"/>
          <w:sz w:val="24"/>
        </w:rPr>
        <w:t xml:space="preserve">районного</w:t>
      </w:r>
      <w:r>
        <w:rPr>
          <w:rFonts w:ascii="Times New Roman" w:eastAsia="Times New Roman" w:hAnsi="Times New Roman" w:cs="Times New Roman"/>
          <w:sz w:val="24"/>
        </w:rPr>
        <w:t xml:space="preserve"> </w:t>
      </w:r>
      <w:r>
        <w:rPr>
          <w:rFonts w:ascii="Arial" w:eastAsia="Arial" w:hAnsi="Arial" w:cs="Arial"/>
          <w:sz w:val="24"/>
        </w:rPr>
        <w:t xml:space="preserve">совета</w:t>
      </w:r>
      <w:r>
        <w:rPr>
          <w:rFonts w:ascii="Times New Roman" w:eastAsia="Times New Roman" w:hAnsi="Times New Roman" w:cs="Times New Roman"/>
          <w:sz w:val="24"/>
        </w:rPr>
        <w:t xml:space="preserve">                         </w:t>
      </w:r>
      <w:r>
        <w:rPr>
          <w:rFonts w:ascii="Arial" w:eastAsia="Arial" w:hAnsi="Arial" w:cs="Arial"/>
          <w:sz w:val="24"/>
        </w:rPr>
        <w:t xml:space="preserve">Глава</w:t>
      </w:r>
      <w:r>
        <w:rPr>
          <w:rFonts w:ascii="Times New Roman" w:eastAsia="Times New Roman" w:hAnsi="Times New Roman" w:cs="Times New Roman"/>
          <w:sz w:val="24"/>
        </w:rPr>
        <w:t xml:space="preserve"> </w:t>
      </w:r>
      <w:r>
        <w:rPr>
          <w:rFonts w:ascii="Arial" w:eastAsia="Arial" w:hAnsi="Arial" w:cs="Arial"/>
          <w:sz w:val="24"/>
        </w:rPr>
        <w:t xml:space="preserve">Троснянского</w:t>
      </w:r>
      <w:r>
        <w:rPr>
          <w:rFonts w:ascii="Times New Roman" w:eastAsia="Times New Roman" w:hAnsi="Times New Roman" w:cs="Times New Roman"/>
          <w:sz w:val="24"/>
        </w:rPr>
        <w:t xml:space="preserve"> </w:t>
      </w:r>
      <w:r>
        <w:rPr>
          <w:rFonts w:ascii="Arial" w:eastAsia="Arial" w:hAnsi="Arial" w:cs="Arial"/>
          <w:sz w:val="24"/>
        </w:rPr>
        <w:t xml:space="preserve">района</w:t>
      </w:r>
    </w:p>
    <w:p>
      <w:pPr>
        <w:jc w:val="both"/>
        <w:textAlignment w:val="auto"/>
        <w:ind w:left="0" w:right="0" w:start="0" w:end="0"/>
        <w:spacing w:after="0" w:line="240"/>
        <w:bidi w:val="false"/>
        <w:rPr>
          <w:rFonts w:ascii="Times New Roman" w:eastAsia="Times New Roman" w:hAnsi="Times New Roman" w:cs="Times New Roman"/>
          <w:sz w:val="24"/>
        </w:rPr>
      </w:pPr>
      <w:r>
        <w:rPr>
          <w:rFonts w:ascii="Arial" w:eastAsia="Arial" w:hAnsi="Arial" w:cs="Arial"/>
          <w:sz w:val="24"/>
        </w:rPr>
        <w:t xml:space="preserve">народных</w:t>
      </w:r>
      <w:r>
        <w:rPr>
          <w:rFonts w:ascii="Times New Roman" w:eastAsia="Times New Roman" w:hAnsi="Times New Roman" w:cs="Times New Roman"/>
          <w:sz w:val="24"/>
        </w:rPr>
        <w:t xml:space="preserve"> </w:t>
      </w:r>
      <w:r>
        <w:rPr>
          <w:rFonts w:ascii="Arial" w:eastAsia="Arial" w:hAnsi="Arial" w:cs="Arial"/>
          <w:sz w:val="24"/>
        </w:rPr>
        <w:t xml:space="preserve">депутатов</w:t>
      </w:r>
    </w:p>
    <w:p>
      <w:pPr>
        <w:jc w:val="both"/>
        <w:textAlignment w:val="auto"/>
        <w:ind w:left="0" w:right="0" w:start="0" w:end="0"/>
        <w:spacing w:after="0" w:line="240"/>
        <w:bidi w:val="false"/>
        <w:rPr>
          <w:rFonts w:ascii="Times New Roman" w:eastAsia="Times New Roman" w:hAnsi="Times New Roman" w:cs="Times New Roman"/>
          <w:sz w:val="24"/>
        </w:rPr>
      </w:pPr>
    </w:p>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Arial" w:eastAsia="Arial" w:hAnsi="Arial" w:cs="Arial"/>
          <w:sz w:val="24"/>
        </w:rPr>
        <w:t xml:space="preserve">В</w:t>
      </w:r>
      <w:r>
        <w:rPr>
          <w:rFonts w:ascii="Times New Roman" w:eastAsia="Times New Roman" w:hAnsi="Times New Roman" w:cs="Times New Roman"/>
          <w:sz w:val="24"/>
        </w:rPr>
        <w:t xml:space="preserve">.</w:t>
      </w:r>
      <w:r>
        <w:rPr>
          <w:rFonts w:ascii="Arial" w:eastAsia="Arial" w:hAnsi="Arial" w:cs="Arial"/>
          <w:sz w:val="24"/>
        </w:rPr>
        <w:t xml:space="preserve">Г</w:t>
      </w:r>
      <w:r>
        <w:rPr>
          <w:rFonts w:ascii="Times New Roman" w:eastAsia="Times New Roman" w:hAnsi="Times New Roman" w:cs="Times New Roman"/>
          <w:sz w:val="24"/>
        </w:rPr>
        <w:t xml:space="preserve">.</w:t>
      </w:r>
      <w:r>
        <w:rPr>
          <w:rFonts w:ascii="Arial" w:eastAsia="Arial" w:hAnsi="Arial" w:cs="Arial"/>
          <w:sz w:val="24"/>
        </w:rPr>
        <w:t xml:space="preserve">Харлашкин</w:t>
      </w:r>
      <w:r>
        <w:rPr>
          <w:rFonts w:ascii="Times New Roman" w:eastAsia="Times New Roman" w:hAnsi="Times New Roman" w:cs="Times New Roman"/>
          <w:sz w:val="24"/>
        </w:rPr>
        <w:t xml:space="preserve">                                                              </w:t>
      </w:r>
      <w:r>
        <w:rPr>
          <w:rFonts w:ascii="Arial" w:eastAsia="Arial" w:hAnsi="Arial" w:cs="Arial"/>
          <w:sz w:val="24"/>
        </w:rPr>
        <w:t xml:space="preserve">В</w:t>
      </w:r>
      <w:r>
        <w:rPr>
          <w:rFonts w:ascii="Times New Roman" w:eastAsia="Times New Roman" w:hAnsi="Times New Roman" w:cs="Times New Roman"/>
          <w:sz w:val="24"/>
        </w:rPr>
        <w:t xml:space="preserve">.</w:t>
      </w:r>
      <w:r>
        <w:rPr>
          <w:rFonts w:ascii="Arial" w:eastAsia="Arial" w:hAnsi="Arial" w:cs="Arial"/>
          <w:sz w:val="24"/>
        </w:rPr>
        <w:t xml:space="preserve">И</w:t>
      </w:r>
      <w:r>
        <w:rPr>
          <w:rFonts w:ascii="Times New Roman" w:eastAsia="Times New Roman" w:hAnsi="Times New Roman" w:cs="Times New Roman"/>
          <w:sz w:val="24"/>
        </w:rPr>
        <w:t xml:space="preserve">.</w:t>
      </w:r>
      <w:r>
        <w:rPr>
          <w:rFonts w:ascii="Arial" w:eastAsia="Arial" w:hAnsi="Arial" w:cs="Arial"/>
          <w:sz w:val="24"/>
        </w:rPr>
        <w:t xml:space="preserve">Быков</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Приложение 1    </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к постановлению Троснянского районного</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Совета народных депутатов</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муниципальной целевой программе</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«Развитие отрасли культуры в Троснянском </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районе на 2011-2015гг.»</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Паспорт долгосрочной районной целевой программы «Развитие отрасли культуры Троснянского района на 2011-2015 годы»</w:t>
      </w:r>
    </w:p>
    <w:tbl>
      <w:tblPr>
        <w:tblLayout w:type="fixed"/>
        <w:tblInd w:w="-527" w:type="dxa"/>
        <w:tblW w:w="10348" w:type="dxa"/>
        <w:tblCellMar>
          <w:bottom w:w="0" w:type="dxa"/>
          <w:left w:w="40" w:type="dxa"/>
          <w:right w:w="40" w:type="dxa"/>
          <w:top w:w="0" w:type="dxa"/>
        </w:tblCellMar>
        <w:tblBorders>
          <w:left w:sz="0" w:space="0" w:val="nil"/>
          <w:right w:sz="0" w:space="0" w:val="nil"/>
          <w:top w:sz="0" w:space="0" w:val="nil"/>
          <w:bottom w:sz="0" w:space="0" w:val="nil"/>
          <w:insideV w:sz="0" w:space="0" w:val="nil"/>
          <w:insideH w:sz="0" w:space="0" w:val="nil"/>
        </w:tblBorders>
      </w:tblPr>
      <w:tblGrid>
        <w:gridCol w:w="3187"/>
        <w:gridCol w:w="19"/>
        <w:gridCol w:w="7142"/>
      </w:tblGrid>
      <w:tr>
        <w:trHeight w:val="979" w:hRule="atLeast"/>
        <w:tc>
          <w:tcPr>
            <w:tcW w:type="dxa" w:w="3187"/>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Наименование программы</w:t>
            </w:r>
          </w:p>
        </w:tc>
        <w:tc>
          <w:tcPr>
            <w:tcW w:type="dxa" w:w="7161"/>
            <w:tcBorders>
              <w:left w:sz="6" w:val="single"/>
              <w:top w:sz="6" w:val="single"/>
              <w:right w:sz="6" w:val="single"/>
              <w:bottom w:sz="6" w:val="single"/>
            </w:tcBorders>
            <w:shd w:val="nil"/>
            <w:vAlign w:val="top"/>
            <w:textDirection w:val="lrTb"/>
            <w:gridSpan w:val="2"/>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Долгосрочная районная целевая программа «Развитие отрасли культуры в Троснянском районе на 2011 -2015 годы» ( далее также - Программа)</w:t>
            </w:r>
          </w:p>
        </w:tc>
      </w:tr>
      <w:tr>
        <w:trHeight w:val="1944" w:hRule="atLeast"/>
        <w:tc>
          <w:tcPr>
            <w:tcW w:type="dxa" w:w="3187"/>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Основание для разработки Программы</w:t>
            </w:r>
          </w:p>
        </w:tc>
        <w:tc>
          <w:tcPr>
            <w:tcW w:type="dxa" w:w="7161"/>
            <w:tcBorders>
              <w:left w:sz="6" w:val="single"/>
              <w:top w:sz="6" w:val="single"/>
              <w:right w:sz="6" w:val="single"/>
              <w:bottom w:sz="6" w:val="single"/>
            </w:tcBorders>
            <w:shd w:val="nil"/>
            <w:vAlign w:val="top"/>
            <w:textDirection w:val="lrTb"/>
            <w:gridSpan w:val="2"/>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«Основы законодательства Российской Федерации о культуре» от 9 октября 1992 года №3612-1, Постановление Правительства Российской Федерации от 8 декабря 2005 года №740 «О федеральной целевой программе «Культура России (2006-2011 годы)»</w:t>
            </w:r>
          </w:p>
        </w:tc>
      </w:tr>
      <w:tr>
        <w:trHeight w:val="331" w:hRule="atLeast"/>
        <w:tc>
          <w:tcPr>
            <w:tcW w:type="dxa" w:w="3187"/>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Заказчик Программы</w:t>
            </w:r>
          </w:p>
        </w:tc>
        <w:tc>
          <w:tcPr>
            <w:tcW w:type="dxa" w:w="7161"/>
            <w:tcBorders>
              <w:left w:sz="6" w:val="single"/>
              <w:top w:sz="6" w:val="single"/>
              <w:right w:sz="6" w:val="single"/>
              <w:bottom w:sz="6" w:val="single"/>
            </w:tcBorders>
            <w:shd w:val="nil"/>
            <w:vAlign w:val="top"/>
            <w:textDirection w:val="lrTb"/>
            <w:gridSpan w:val="2"/>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Глава Троснянского района</w:t>
            </w:r>
          </w:p>
        </w:tc>
      </w:tr>
      <w:tr>
        <w:trHeight w:val="331" w:hRule="atLeast"/>
        <w:tc>
          <w:tcPr>
            <w:tcW w:type="dxa" w:w="3187"/>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Разработчик Программы</w:t>
            </w:r>
          </w:p>
        </w:tc>
        <w:tc>
          <w:tcPr>
            <w:tcW w:type="dxa" w:w="7161"/>
            <w:tcBorders>
              <w:left w:sz="6" w:val="single"/>
              <w:top w:sz="6" w:val="single"/>
              <w:right w:sz="6" w:val="single"/>
              <w:bottom w:sz="6" w:val="single"/>
            </w:tcBorders>
            <w:shd w:val="nil"/>
            <w:vAlign w:val="top"/>
            <w:textDirection w:val="lrTb"/>
            <w:gridSpan w:val="2"/>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Отдел культуры администрации Троснянского района</w:t>
            </w:r>
          </w:p>
        </w:tc>
      </w:tr>
      <w:tr>
        <w:trHeight w:val="653" w:hRule="atLeast"/>
        <w:tc>
          <w:tcPr>
            <w:tcW w:type="dxa" w:w="3187"/>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Ответственный исполнитель</w:t>
            </w:r>
          </w:p>
        </w:tc>
        <w:tc>
          <w:tcPr>
            <w:tcW w:type="dxa" w:w="7161"/>
            <w:tcBorders>
              <w:left w:sz="6" w:val="single"/>
              <w:top w:sz="6" w:val="single"/>
              <w:right w:sz="6" w:val="single"/>
              <w:bottom w:sz="6" w:val="single"/>
            </w:tcBorders>
            <w:shd w:val="nil"/>
            <w:vAlign w:val="top"/>
            <w:textDirection w:val="lrTb"/>
            <w:gridSpan w:val="2"/>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Начальник отдела культуры администрации Троснянского района</w:t>
            </w:r>
          </w:p>
        </w:tc>
      </w:tr>
      <w:tr>
        <w:trHeight w:val="658" w:hRule="atLeast"/>
        <w:tc>
          <w:tcPr>
            <w:tcW w:type="dxa" w:w="3187"/>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Период реализации Программы</w:t>
            </w:r>
          </w:p>
        </w:tc>
        <w:tc>
          <w:tcPr>
            <w:tcW w:type="dxa" w:w="7161"/>
            <w:tcBorders>
              <w:left w:sz="6" w:val="single"/>
              <w:top w:sz="6" w:val="single"/>
              <w:right w:sz="6" w:val="single"/>
              <w:bottom w:sz="4" w:val="single"/>
            </w:tcBorders>
            <w:shd w:val="nil"/>
            <w:vAlign w:val="top"/>
            <w:textDirection w:val="lrTb"/>
            <w:gridSpan w:val="2"/>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2011-2015 годы</w:t>
            </w:r>
          </w:p>
        </w:tc>
      </w:tr>
      <w:tr>
        <w:trHeight w:val="5788" w:hRule="atLeast"/>
        <w:tc>
          <w:tcPr>
            <w:tcW w:type="dxa" w:w="3187"/>
            <w:tcBorders>
              <w:left w:sz="6" w:val="single"/>
              <w:top w:sz="6" w:val="single"/>
              <w:right w:sz="4" w:val="single"/>
              <w:bottom w:sz="4" w:val="single"/>
            </w:tcBorders>
            <w:shd w:val="nil"/>
            <w:vAlign w:val="top"/>
            <w:textDirection w:val="lrTb"/>
            <w:gridSpan w:val="1"/>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Цели Программы</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tc>
        <w:tc>
          <w:tcPr>
            <w:vMerge w:val="restart"/>
            <w:tcW w:type="dxa" w:w="7161"/>
            <w:tcBorders>
              <w:left w:sz="4" w:val="single"/>
              <w:top w:sz="4" w:val="single"/>
              <w:right w:sz="4" w:val="single"/>
              <w:bottom w:sz="4" w:val="single"/>
            </w:tcBorders>
            <w:shd w:val="nil"/>
            <w:vAlign w:val="top"/>
            <w:textDirection w:val="lrTb"/>
            <w:gridSpan w:val="2"/>
          </w:tcPr>
          <w:p>
            <w:pPr>
              <w:jc w:val="both"/>
              <w:textAlignment w:val="auto"/>
              <w:ind w:left="0" w:right="0" w:start="0" w:end="0"/>
              <w:spacing w:after="0" w:line="240"/>
              <w:bidi w:val="false"/>
              <w:pBdr>
                <w:top w:sz="4" w:space="1" w:val="single"/>
                <w:left w:sz="4" w:space="4" w:val="single"/>
                <w:bottom w:sz="4" w:space="1" w:val="single"/>
                <w:right w:sz="4" w:space="4" w:val="single"/>
              </w:pBdr>
              <w:rPr>
                <w:rFonts w:ascii="Arial" w:eastAsia="Arial" w:hAnsi="Arial" w:cs="Arial"/>
                <w:sz w:val="24"/>
              </w:rPr>
            </w:pPr>
            <w:r>
              <w:rPr>
                <w:rFonts w:ascii="Arial" w:eastAsia="Arial" w:hAnsi="Arial" w:cs="Arial"/>
                <w:sz w:val="24"/>
              </w:rPr>
              <w:t xml:space="preserve">Основная цель Программы - развитие отрасли культуры Троснянского района. Подцели Программы - сохранение культурного наследия Троснянского района, поддержка и распространение лучших традиций и достижений культуры Троснянского района и поддержка молодых дарований, адресная поддержка культуры, искусства и народного творчества, воспитание гражданственности и патриотизма, пропаганда здорового образа жизни, создание условий для обеспечения творчества и развития культурно-информационного пространства, сохранение материального и нематериального культурного наследия, обновление специального оборудования организаций культуры, проведение ремонтных работ, обеспечение единого культурно- информационного пространства и повышение доступности культурных благ для населения района, обеспечение культурного обмена и расширение использования виртуальных продуктов культуры, разработка и внедрение информационных продуктов и технологий в сфере культуры, интеграция в культурно-информационный процесс.</w:t>
            </w:r>
          </w:p>
          <w:p>
            <w:pPr>
              <w:jc w:val="both"/>
              <w:textAlignment w:val="auto"/>
              <w:ind w:left="0" w:right="0" w:start="0" w:end="0"/>
              <w:spacing w:after="0" w:line="240"/>
              <w:bidi w:val="false"/>
              <w:pBdr>
                <w:top w:sz="4" w:space="1" w:val="single"/>
                <w:left w:sz="4" w:space="4" w:val="single"/>
                <w:bottom w:sz="4" w:space="1" w:val="single"/>
                <w:right w:sz="4" w:space="4" w:val="single"/>
              </w:pBdr>
              <w:rPr>
                <w:rFonts w:ascii="Arial" w:eastAsia="Arial" w:hAnsi="Arial" w:cs="Arial"/>
                <w:sz w:val="24"/>
              </w:rPr>
            </w:pPr>
          </w:p>
        </w:tc>
      </w:tr>
      <w:tr>
        <w:trHeight w:val="1079" w:hRule="atLeast"/>
        <w:tc>
          <w:tcPr>
            <w:tcW w:type="dxa" w:w="3187"/>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Объем и источники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финансирования</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Программы</w:t>
            </w:r>
          </w:p>
        </w:tc>
        <w:tc>
          <w:tcPr>
            <w:vMerge w:val="continue"/>
            <w:tcW w:type="dxa" w:w="7161"/>
            <w:tcBorders>
              <w:left w:sz="6" w:val="single"/>
              <w:top w:sz="4" w:val="single"/>
              <w:right w:sz="6" w:val="single"/>
              <w:bottom w:sz="6" w:val="single"/>
            </w:tcBorders>
            <w:shd w:val="nil"/>
            <w:vAlign w:val="top"/>
            <w:textDirection w:val="lrTb"/>
            <w:gridSpan w:val="2"/>
          </w:tcPr>
          <w:p>
            <w:pPr>
              <w:jc w:val="both"/>
              <w:textAlignment w:val="auto"/>
              <w:ind w:left="0" w:right="0" w:start="0" w:end="0"/>
              <w:spacing w:after="0" w:line="240"/>
              <w:bidi w:val="false"/>
              <w:rPr>
                <w:rFonts w:ascii="Arial" w:eastAsia="Arial" w:hAnsi="Arial" w:cs="Arial"/>
                <w:sz w:val="24"/>
              </w:rPr>
            </w:pPr>
          </w:p>
        </w:tc>
      </w:tr>
      <w:tr>
        <w:trHeight w:val="4708" w:hRule="atLeast"/>
        <w:tc>
          <w:tcPr>
            <w:tcW w:type="dxa" w:w="3206"/>
            <w:tcBorders>
              <w:left w:sz="6" w:val="single"/>
              <w:top w:sz="4" w:val="single"/>
              <w:right w:sz="6" w:val="single"/>
            </w:tcBorders>
            <w:shd w:val="nil"/>
            <w:vAlign w:val="top"/>
            <w:textDirection w:val="lrTb"/>
            <w:gridSpan w:val="2"/>
          </w:tcPr>
          <w:p>
            <w:pPr>
              <w:jc w:val="both"/>
              <w:textAlignment w:val="auto"/>
              <w:ind w:left="0" w:right="0" w:start="0" w:end="0"/>
              <w:spacing w:after="0" w:line="240"/>
              <w:bidi w:val="false"/>
              <w:rPr>
                <w:rFonts w:ascii="Arial" w:eastAsia="Arial" w:hAnsi="Arial" w:cs="Arial"/>
                <w:sz w:val="24"/>
              </w:rPr>
            </w:pPr>
          </w:p>
        </w:tc>
        <w:tc>
          <w:tcPr>
            <w:tcW w:type="dxa" w:w="7142"/>
            <w:tcBorders>
              <w:left w:sz="6" w:val="single"/>
              <w:top w:sz="4" w:val="single"/>
              <w:right w:sz="6" w:val="single"/>
            </w:tcBorders>
            <w:shd w:val="nil"/>
            <w:vAlign w:val="top"/>
            <w:textDirection w:val="lrTb"/>
            <w:gridSpan w:val="1"/>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Финансирование Программы осуществляется за счет средств районного бюджета, бюджета сельских поселений и дополнительного финансирования. Общий объем финансирования составит 4822 тысячи рублей, в том числе средства районного бюджета - 1657 тысячи рублей, средства бюджета сельских поселений - 1485 тысяч рублей, внебюджетные средства - 140 тысяч</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рублей;</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прогнозируемые объемы дополнительного</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финансирования : средства федерального бюджета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540 тысяч рублей (12   %),средства областного бюджета</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- 1000 тысяч рублей (21%).</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Общая сумма расходов на финансирование Программы</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составит:</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в 2011 году - 1084 тысячи рублей; 2012 году- 928 тысяч</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рублей; 2013 году - 1248 тысяч рублей; 2014 году - 772</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тысячи рублей; 2015 году - 790 тысяч рублей.</w:t>
            </w:r>
          </w:p>
        </w:tc>
      </w:tr>
      <w:tr>
        <w:trHeight w:val="56" w:hRule="atLeast"/>
        <w:tc>
          <w:tcPr>
            <w:tcW w:type="dxa" w:w="3206"/>
            <w:tcBorders>
              <w:left w:sz="6" w:val="single"/>
              <w:top w:sz="6" w:val="single"/>
              <w:right w:sz="6" w:val="single"/>
            </w:tcBorders>
            <w:shd w:val="nil"/>
            <w:vAlign w:val="top"/>
            <w:textDirection w:val="lrTb"/>
            <w:gridSpan w:val="2"/>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Ожидаемые конечные</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результаты реализации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Программы</w:t>
            </w:r>
          </w:p>
        </w:tc>
        <w:tc>
          <w:tcPr>
            <w:tcW w:type="dxa" w:w="7142"/>
            <w:tcBorders>
              <w:left w:sz="6" w:val="single"/>
              <w:top w:sz="6" w:val="single"/>
              <w:right w:sz="6" w:val="single"/>
            </w:tcBorders>
            <w:shd w:val="nil"/>
            <w:vAlign w:val="top"/>
            <w:textDirection w:val="lrTb"/>
            <w:gridSpan w:val="1"/>
          </w:tcPr>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1. Увеличение количества ремонтно-</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реставрационных работ на объектах культурного</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наследия. Улучшение состояния объектов</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культурного наследия.</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2. Увеличение количества формирования</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паспортов на объекты культурного наследия.</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3. Формирование и развитие эстетических</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потребностей и вкусов всех социальных 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возрастных групп.</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4. Выявление мастеров- умельцев среди всех</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социально - возрастных групп населения.</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5. Формирование и развитие эстетических</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потребностей и вкусов у детей</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6. Выявление юных талантов 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дарований.Создание благоприятных условий для</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развития одаренных детей.</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7. Расширение возможности в социокультурном</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обслуживании.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8. Пропаганда здорового образа жизни.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9. Поддержка молодых семей.</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10.Повышение уровня профессионального 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исполнительного мастерства работников</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культуры и коллективов самодеятельного</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творчества.</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11. У крепление материально - технической базы</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учреждений культуры и обновление</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оборудования.</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12.Более полное удовлетворение культурных</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потребностей населения.</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13.Укрепление пожарной безопасности учреждений</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культуры</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14.Создание лучших условий труда работникам учреждений культуры</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15. Удовлетворение информационных запросов различных категорий пользователей.</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16.Обеспечение условий доступа людей с</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ограниченными способностями в учреждения культуры.</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17.Обеспечение условий для инновационной деятельности.</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18.Сохранение нематериального культурного наследия.</w:t>
            </w:r>
          </w:p>
          <w:p>
            <w:pPr>
              <w:jc w:val="both"/>
              <w:textAlignment w:val="auto"/>
              <w:ind w:left="0" w:right="0" w:start="0" w:end="0"/>
              <w:spacing w:after="0" w:line="240"/>
              <w:bidi w:val="false"/>
              <w:rPr>
                <w:rFonts w:ascii="Arial" w:eastAsia="Arial" w:hAnsi="Arial" w:cs="Arial"/>
                <w:sz w:val="24"/>
              </w:rPr>
            </w:pPr>
          </w:p>
        </w:tc>
      </w:tr>
    </w:tbl>
    <w:p>
      <w:pPr>
        <w:jc w:val="both"/>
        <w:textAlignment w:val="auto"/>
        <w:ind w:left="0" w:right="0" w:start="0" w:end="0"/>
        <w:spacing w:after="0" w:line="240"/>
        <w:bidi w:val="false"/>
        <w:rPr>
          <w:rFonts w:ascii="Times New Roman" w:eastAsia="Times New Roman" w:hAnsi="Times New Roman" w:cs="Times New Roman"/>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Разделы  Программы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Характеристика  проблемы и обоснование ее решения          программными методами.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1.1. Характеристика отрасли культуры в Троснянском районе.</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Важным фактором социально-экономического и политического развития российского общества является стабильное развитие сферы культуры: сохранение культурных и нравственных ценностей, межрегиональных и межнациональных связей, а также укрепление духовного единства российского общества.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 определении особенностей культурного процесса на современном этапе особое внимание уделяется региональной и этнической особенности культурного пространства России, что порождает необходимость при проведении культурной политики исходить из некоторых универсальных норм и принципов, которые объединяют различные культуры в единое культурное пространство.</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Число основных принципов, как ориентиров культурной политики можно отнести: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принцип открытости и демократизма в структурировании культурной политики, равенства прав и возможностей всех граждан и социальных групп в создании и использовании материальных, духовных ценностей;</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принцип регулирующей роли культурной политики в формировании социокультурной ситуации;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максимальный учет культурной самобытности людей;</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принцип единого культурного пространства.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Государственная политика в сфере культуры направлена на развитие и реализацию культурного и духовного потенциала каждой личности и общества в целом.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 государственной охране находится около 85 тысяч недвижимых памятников истории и культуры. Эксперты и исследователи, занимающиеся проблемами сохранения историко-культурного наследия, отмечают, что за последние 10 лет в Российской Федерации утрачено более 2,5 тысяч памятников. Ежегодные утраты составляют 150-200 памятников, и этот показатель практически не снижается, несмотря на комплекс мер, направленных на сохранение культурного наследия народов Российской Федерации.</w:t>
      </w:r>
    </w:p>
    <w:p>
      <w:pPr>
        <w:jc w:val="both"/>
        <w:textAlignment w:val="auto"/>
        <w:ind w:firstLine="709"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В настоящее время на территории района  35 памятников истории и культуры (воинских захоронений). Все они находятся в муниципальной собственности. Большинство из них находятся в удовлетворительном состоянии, но требуют ежегодного косметического ремонта, 4 находятся в неудовлетворительном состоянии  и требуют больших финансовых вложений. </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         Библиотечное обслуживание граждан России отражает динамику развития общества в целом, опирается на традиционную культуру и на современные технологии создания и передачи информации.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Большую роль в жизни населения нашего района играет библиотечная система, которая включает в себя 18 учреждений: центральная районная библиотека, детская библиотека и 16 сельских библиотечных филиалов.</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        Книжный фонд Троснянской ЦБС на 01.01.2010 года составляет 137811 экземпляров литературы. За истекший год поступило и обработано 792 экземпляра (557 новых названий). В библиотеках зарегистрировано около </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8 тысяч пользователей.</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         В районе функционирует  14 сельских клубов и домов культуры, </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1 РДК, 1 АКБ, 1 РМЦ с численностью работников – 55 человек.</w:t>
      </w:r>
    </w:p>
    <w:p>
      <w:pPr>
        <w:jc w:val="both"/>
        <w:textAlignment w:val="auto"/>
        <w:ind w:left="120" w:right="0" w:start="120" w:end="0"/>
        <w:adjustRightInd w:val="true"/>
        <w:spacing w:after="0" w:line="240"/>
        <w:bidi w:val="false"/>
        <w:rPr>
          <w:rFonts w:ascii="Arial" w:eastAsia="Arial" w:hAnsi="Arial" w:cs="Arial"/>
          <w:sz w:val="24"/>
        </w:rPr>
      </w:pP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           1.2.Характеристика отрасли культуры в Троснянском районе.</w:t>
      </w:r>
    </w:p>
    <w:p>
      <w:pPr>
        <w:jc w:val="both"/>
        <w:textAlignment w:val="auto"/>
        <w:ind w:firstLine="720" w:left="0" w:right="0" w:start="0" w:end="0"/>
        <w:adjustRightInd w:val="true"/>
        <w:spacing w:after="0" w:line="240"/>
        <w:bidi w:val="false"/>
        <w:rPr>
          <w:rFonts w:ascii="Arial" w:eastAsia="Arial" w:hAnsi="Arial" w:cs="Arial"/>
          <w:sz w:val="24"/>
        </w:rPr>
      </w:pP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Настоящая программа разработана в соответствии с концепцией социально- экономического развития района. Она определяет систему приоритетов, реализация которых позволит использовать культуру Троснянского района в качестве одного из факторов социально- экономического развития района, эстетического и нравственного воспитания широких слоев населения.</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Троснянский район представляет собой территорию, имеющую свои культурные корни, культурное прошлое и собственные пути развития.</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Учреждениями культуры Троснянского района в течении 2007 – 2010г проводилась работа по реализации мероприятий «Районной программы сохранения и развития культуры Троснянского района на 2007 – 2010годы».</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настоящее время в отрасли культуры Троснянского района занято 93 человека. На территории района сосредоточено</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Сохранение духовности, национальных традиций, бережного отношения к  своим истокам – приоритеты в деятельности учреждений культуры района.</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Сельские учреждения  культуры совершенствуют формы и методы своей работы, целенаправленно приобщая молодежь к истокам народной культуры, нравственно – эстетическим ценностям.     </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Сегодня культурные учреждения района являются основными хранителями песенного, музыкального и танцевального фольклора. Развитию фольклора способствуют ставшие традиционными праздники: День славянской письменности и культуры, ежегодный фольклорный праздник «Троицкие гуляния», рождественские встречи, крещенские посиделки, масленица и другие.</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Данный период характеризовался следующими показателями: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1.Количество мероприятий, проведенных учреждениями культуры по различным направлениям.</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2007г.- 2573</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2008г.- 2771</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2009г.- 2594</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2.Наличие определенного населения, привлеченного в среду организации досуга.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2007г.-   10628 чел.</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2008г.-   13640 чел.</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2009г.-   17705 чел.</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3.Количество  формирований и участников в них.</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2007г.- 62 форм. – 488 уч.</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2008г.- 61 форм. – 475 уч.</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2009г.- 56 форм. – 451 уч.</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4.Наличие заработанных средств учреждениями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2007г.- 68 тыс.руб.</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2008г.- 99,9 тыс.руб.</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2009г.-290,7 тыс. руб.</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Реализация основных направлений программы « Сохранения и развития культуры Троснянского района» способствовала созданию условий для доступа населения к культурным ценностям, свободного культурного развития личности.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Самой массовой формой проведения культурных мероприятий в районе стали традиционные смотры – конкурсы художественной самодеятельности и фестивали детского художественного творчества «Я люблю тебя, Россия», конкурс «Играй, гармонь любимая» и многие другие.</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Повысился  художественный уровень самодеятельных творческих коллективов, что повлияло на результаты участия коллективов и отдельных исполнителей в фестивалях и конкурс областного, регионального и всероссийского значения. Творческий коллектив хор «Русская песня» еще раз подтвердил звание «народного».</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Широкий общественный резонанс вызвало проведение мероприятий, посвященный Дню Победы, Дню освобождению Орловщины, программы к Дню пожилого человека, Дню семьи, Дню матери, Дню защиты детей.</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Сохранилась сеть учреждений культуры, кадровой потенциал, повысилась социальная значимость культуры. Учреждения организуют свою деятельность  в соответствии с запросами различных категорий населения, уделяя большое внимание качеству и доступности предоставляемых услуг.</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         Основными направлениями деятельности библиотек района являются: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активное участие в культурной жизни села совместно с ДК, администрацией школ и сельскими поселениями.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пропаганда семейного чтения и его развитие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-участие библиотек в повышении правовой культуры населения в связи с реализацией областной целевой программы «Повышение правовой культуры населения Орловской области на 2006 – 2008 г.»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совершенствование краеведческой деятельности;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организация сохранности фондов;</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повышение профессионального уровня библиотечных  кадров.</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 сведениям Территориального органа федеральной службы госстатистики  по Орловской области количество жителей района  на 10.01.2010 года составляет 11,33 тыс. человек,  в с. Тросна 3026, по селу 8308.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Число населенных пунктов на территории района 96. В среднем на одну сельскую библиотеку приходится 678 человек.                                                                                                          Основные показатели деятельности библиотек характеризуют общественную потребность в библиотечных учреждениях, возможности наиболее полно удовлетворить информационные потребности пользователей. Процент охвата библиотечным обслуживанием населения района.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2007 г. -  83</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2008 г. – 78,2</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2009 г. - 82</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Всего пользователей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2007 г. – 10344  в том числе на селе 7368. Посещаемость сельских библиотек  - 8,7 %.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2008 г. – 9851 , в том числе на селе 6934 . Средняя посещаемость сельских библиотек – 8, 9 %.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2009 г. – 7200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Средняя посещаемость сельских библиотек – 9,1%</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Достигнутая стабильная результативность является прежде всего показателем профессиональной подготовленности и опыта библиотечных кадров Троснянской ЦБС, показателем их информационной культуры, следствием партнерского взаимодействия библиотек с образовательными учреждениями.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районе 73% библиотекарей имеют специальное библиотечное образование, в том числе 19,2% - высшее и 76% среднее специальное.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Серьезное внимание в районе уделяется массовому информированию населения о составе библиотечных фондов и содержанию конкретных документов в них. В каждой сельской библиотеке созданы уголки правовой информации, где представлены документы федерального и регионального законодательства, Устав района, документы сельских администраций. Повсеместно открыты книжные полки: «Правовая неотложка», «Призывнику о военной службе», «Новые льготы, пособия, компенсации» и выставки «Право в нашей жизни», «Страницы мужества и славы» к 65-летию Великой Победы в Великой Отечественной войне.</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современных условиях построения правового государства резко возрастает потребность общества в правовых знаниях и официальных правовых документах.                 Сведениями о структуре и функции органов местной власти, о местных нормативных актах, затрагивающих права  и интересы населения в части формирования и расходования средств, владели сами властные структуры, и не всегда они были доступны населению и т. д. Теперь эти функции выполняет Центр правовой информации созданный в 2007 году на базе центральной районной библиотеки.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Роль библиотек в формировании информационной  и правовой  культуры населения заслуживает  положительной оценки.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Однако современная информационная деятельность предъявляет большие требования к обеспечению библиотек необходимыми ресурсами: материально-техническими, информационными, интеллектуальными.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библиотеках района недостаточно развита телефонная связь, что снижает использование коммуникационных возможностей. Отсутствует целевое финансирование  комплектования документных фондов и программного обеспечения для ведения собственных баз данных. Требуются увеличения компьютерного парка, открытия новых информационных центров на базе сельских библиотек.</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районе сохранена и развивается система детского дополнительного образования. В районном центре работает детская школа искусств, и открыты 2 филиала в поселке Рождественский, в деревне Муханово.</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Всего в ДШИ 13 преподавателей. Возрастное деление педагогических кадров:</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до 40 лет – 9 человек(69,2%)</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до 50 лет – 2 человека (36,3%)</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свыше 50 лет – 2 человека (15,3%)</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Средний возраст членов педагогического коллектива - 41,6 лет.</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Образовательный уровень педагогических кадров: -11 преподавателей имеют среднее специальное  образование  (84,6%), 2 преподавателя имеют высшее  образование (15,3%).</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Содержание и методологические принципы детского художественного образования в детской школе искусств соответствуют актуальным задачам развития российского общества, мирового культурного процесса, способствуют всестороннему удовлетворению духовных запросов личности.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Лучшие музыканты и художники представляют район на различных областных, всероссийских и международных конкурсах и выставках:</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«Тургенев – читаем, рисуем»;</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«Тихая провинция» иА.И.Курнакова;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«Ступени мастерства»;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«Искусство музицирования»;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«Путь к совершенству»  и  т.д;</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Уделяя особое внимание образованию и воспитанию в сельской местности, приобщению подрастающего поколения к культурно – историческим традициям,  у воспитанников формируется отношение к культуре как к важнейшему условию свободного и разностороннего развития личности.</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  фоне нарастающей глобализации и развивающейся  рыночной среды особую значимость приобретает непрерывность воспроизводства  творческого потенциала, молодых дарований , а также поддержка и развитие  существующей  системы художественного образования в районе . </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Художественное образование – это процесс овладения и присвоения человеком художественной культуры народа и человечества, один из важнейших способов развития и формирования целостной личности, ее духовности, творческой индивидуальности и эмоционального богатства. В числе актуальных задач, стоящих перед системой художественного образования, является воспитание у подрастающего поколения интереса к культуре и искусству, формирование художественных вкусов как основы создания эстетически развитой и заинтересованной  аудитории слушателей и зрителей. Важную роль в художественном образовании играет художественное отделение, находящееся в ведении Троснянской ДШИ.</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Основными задачами  художественного образования являются:</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формирование и развитие у детей эстетических потребностей и вкусов;</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приобщение воспитанников к ценностям отечественной и зарубежной культуры, лучшим образцам народного творчества, классического и современного искусства;</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вовлечение педагогов и детей в совместную творческую преобразующую деятельность;</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удовлетворение личностных образовательных потребностей воспитанников, их родителей, педагогов, содействие достижению обучающимися определенного уровня образованности;</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создание условий для профессионального самоопределения воспитанников в сфере искусства и культуры;</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формирование педагогической культуры всех участников образовательного процесса.  </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Сформированная за последние годы система конкурсов, фестивалей, олимпиад помогает укреплять связь между системой среднего профессионального образования и системой дополнительного образования детей в сфере культуры и искусства, которая является основой для формирования контингента обучающихся  в среднем звене системы художественного образования.</w:t>
      </w:r>
    </w:p>
    <w:p>
      <w:pPr>
        <w:jc w:val="both"/>
        <w:textAlignment w:val="auto"/>
        <w:ind w:firstLine="6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За последние годы возросло участие молодых дарований в конкурсах, чему способствовала сформированная система  методической и учебной работы с одаренными детьми в ДШИ.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Несмотря на сложившуюся тенденцию положительного творческого развития отрасли культуры, ряд проблем, накопившихся за время экономического спада, значительно превышает возможности по их решению. Отрасль, традиционно ориентированная на государственную финансовую поддержку, оказалась наименее подготовленной к экономическому кризису.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За минувший год отрасль культуры района столкнулась с множеством проблем не только экономического характера, но и в плане повышения роли культурно-просветительных учреждений в организации досуга разных слоев населения на селе. Несмотря на это ее потенциал остается достаточно высоким.</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целом дальнейшее совершенствование деятельности учреждений культуры планируется решить в рамках данной Программы. </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1.3. Основные направления, проблемы и перспективы развития отрасли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культуры района по направлениям.</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firstLine="180"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       Главной задачей развития различных направлений отрасли культуры в Троснянском районе является определение четкого плана мероприятий, ориентированного на последовательное реформирование отрасли в целом, что позволит обеспечить:</w:t>
      </w:r>
    </w:p>
    <w:p>
      <w:pPr>
        <w:jc w:val="both"/>
        <w:textAlignment w:val="auto"/>
        <w:ind w:firstLine="180"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    - создание условий для развития культуры и всестороннего участия граждан в культурной жизни, а также  поддержку профессионального и народного творчества;</w:t>
      </w:r>
    </w:p>
    <w:p>
      <w:pPr>
        <w:jc w:val="both"/>
        <w:textAlignment w:val="auto"/>
        <w:ind w:firstLine="180"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    - повышение роли культуры в укреплении институтов гражданского общества, формировании социально-активной личности;</w:t>
      </w:r>
    </w:p>
    <w:p>
      <w:pPr>
        <w:jc w:val="both"/>
        <w:textAlignment w:val="auto"/>
        <w:ind w:firstLine="180"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    - сохранение культурного наследия, обеспечение доступности художественных ценностей.</w:t>
      </w:r>
    </w:p>
    <w:p>
      <w:pPr>
        <w:jc w:val="both"/>
        <w:textAlignment w:val="auto"/>
        <w:ind w:firstLine="180"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     Программа охватывает все основные виды деятельности в сфере культуры и искусства: культурное наследие,  библиотеки, изобразительное искусство, районные дома культуры, клубы.</w:t>
      </w:r>
    </w:p>
    <w:p>
      <w:pPr>
        <w:jc w:val="both"/>
        <w:textAlignment w:val="auto"/>
        <w:ind w:firstLine="180"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     В среднесрочной перспективе должны быть заложены основы политики развития библиотечного дела,  сохранения культурного  наследия района.</w:t>
      </w:r>
    </w:p>
    <w:p>
      <w:pPr>
        <w:jc w:val="both"/>
        <w:textAlignment w:val="auto"/>
        <w:ind w:firstLine="180" w:left="-180" w:right="0" w:start="-180" w:end="0"/>
        <w:adjustRightInd w:val="true"/>
        <w:spacing w:after="0" w:line="240"/>
        <w:bidi w:val="false"/>
        <w:rPr>
          <w:rFonts w:ascii="Arial" w:eastAsia="Arial" w:hAnsi="Arial" w:cs="Arial"/>
          <w:sz w:val="24"/>
        </w:rPr>
      </w:pPr>
    </w:p>
    <w:p>
      <w:pPr>
        <w:jc w:val="both"/>
        <w:textAlignment w:val="auto"/>
        <w:ind w:firstLine="180"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                               1.3.1. Сохранение объектов культурного наследия.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Сохранение объектов культурного наследия одна из самых значимых задач для развития отрасли культуры района.</w:t>
      </w:r>
    </w:p>
    <w:p>
      <w:pPr>
        <w:jc w:val="both"/>
        <w:textAlignment w:val="auto"/>
        <w:ind w:firstLine="180"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        Регулируется данное направление Федеральным законом от 25 июня 2002 года № 73-ФЗ «Об объектах культурного наследия (памятниках истории и культуры) народов Российской Федерации», Законом Орловской области от 6 апреля 2004 года № 391- ОЗ «Об объектах культурного наследия (памятниках истории и культуры), расположенных на территории Орловской области.</w:t>
      </w:r>
    </w:p>
    <w:p>
      <w:pPr>
        <w:jc w:val="both"/>
        <w:textAlignment w:val="auto"/>
        <w:ind w:firstLine="180" w:left="-180" w:right="0" w:start="-180" w:end="0"/>
        <w:adjustRightInd w:val="true"/>
        <w:spacing w:after="0" w:line="240"/>
        <w:bidi w:val="false"/>
        <w:rPr>
          <w:rFonts w:ascii="Arial" w:eastAsia="Arial" w:hAnsi="Arial" w:cs="Arial"/>
          <w:sz w:val="24"/>
        </w:rPr>
      </w:pPr>
      <w:r>
        <w:rPr>
          <w:rFonts w:ascii="Arial" w:eastAsia="Arial" w:hAnsi="Arial" w:cs="Arial"/>
          <w:sz w:val="24"/>
        </w:rPr>
        <w:t xml:space="preserve">        Троснянский район с его самобытной историей обладает большим потенциалом природного и культурного наследия – как материального, так и тесно связанного с ним духовного.</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        В настоящее время на территории района на государственную охрану поставлено 35 памятников истории и культуры ( воинских захоронений). Все они находятся в муниципальной собственности.</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        По состоянию на начало 2010 года подавляющее число воинских захоронений находится в удовлетворительном состоянии, 4 в неудовлетворительном состоянии и требуют больших финансовых вложений.</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        Представленная программа  « Развитие культуры Троснянского района  на 2011- 2015годы» в части сохранения памятников истории и культуры, предусматривает:</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  -  паспортизацию братских захоронений и мемориалов;</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  -  реставрационные и ремонтные работы на объектах культурного наследия;</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  -  установление мраморных плит и обелисков на братских захоронениях.</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        В 2011 – 2015 годах предусматривается проведение комплекса строительных и ремонтно – реставрационных работ на 35 памятниках истории и культуры.</w:t>
      </w:r>
    </w:p>
    <w:p>
      <w:pPr>
        <w:jc w:val="both"/>
        <w:textAlignment w:val="auto"/>
        <w:ind w:left="120" w:right="0" w:start="120" w:end="0"/>
        <w:adjustRightInd w:val="true"/>
        <w:spacing w:after="0" w:line="240"/>
        <w:bidi w:val="false"/>
        <w:rPr>
          <w:rFonts w:ascii="Arial" w:eastAsia="Arial" w:hAnsi="Arial" w:cs="Arial"/>
          <w:sz w:val="24"/>
        </w:rPr>
      </w:pPr>
      <w:r>
        <w:rPr>
          <w:rFonts w:ascii="Arial" w:eastAsia="Arial" w:hAnsi="Arial" w:cs="Arial"/>
          <w:sz w:val="24"/>
        </w:rPr>
        <w:t xml:space="preserve">        Основой успешной  реализации указанных планов должно стать тесное взаимодействие органов государственной власти , органов местного самоуправления района и поселений  района, к вопросам которых в соответствии  со 131- м Федеральным законом отнесена охрана и сохранение объектов культурного наследия, находящихся на территории муниципальных образований.  </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1.3.2.Поддержка и распространение лучших традиций и достижений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Сохранение и развитие системы художественного образования и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поддержка  молодых дарований.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Адресная поддержка культуры, искусства и народного творчества,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воспитание гражданственности и патриотизма, пропаганда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здорового образа жизни.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На  фоне нарастающей глобализации и развивающейся  рыночной среды особую значимость приобретает непрерывность воспроизводства  творческого потенциала, молодых дарований, а также поддержка и развитие  существующей  системы художественного образования в районе .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Художественное образование – это процесс овладения и присвоения человеком художественной культуры народа и человечества, один из важнейших способов развития и формирования целостной личности, ее духовности, творческой индивидуальности и эмоционального богатства. В числе актуальных задач, стоящих перед системой художественного образования, является воспитание у подрастающего поколения интереса к культуре и искусству, формирование художественных вкусов как основы создания эстетически развитой и заинтересованной  аудитории слушателей и зрителей. Важную роль в художественном образовании играет художественное отделение, находящееся в ведении Троснянской ДШИ.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Основными задачами  художественного образования являются: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формирование и развитие у детей эстетических потребностей и вкусов;</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приобщение воспитанников к ценностям отечественной и зарубежной культуры, лучшим образцам народного творчества, классического и современного искусства;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вовлечение педагогов и детей в совместную творческую преобразующую деятельность;</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удовлетворение личностных образовательных потребностей воспитанников, их родителей, педагогов, содействие достижению обучающимися определенного уровня образованности;</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создание условий для профессионального самоопределения воспитанников в сфере искусства и культуры;</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формирование педагогической культуры всех участников образовательного процесса.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рамках поддержки и распространения  лучших традиций и достижений культуры района будут проведены следующие мероприятия: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2012-2014гг. – районный конкурс детского художественного творчества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«Гармония цвета»;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2011,2013,2014 гг. – фестиваль детско-юношеского и молодежного творчества  «Узоры родной страны»;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2012,2015гг. – районный конкурс и выставка декоративно-прикладного искусства «Красота земли Троснянской»;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2011-2015гг.- творческий конкурс учащихся ДШИ «Ступени мастерства»;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2011,2013,2015гг. – районный фестиваль детского художественного творчества «Наша надежда».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Традиционная народная культура является глубинной основой всего многообразия направлений, видов и форм культуры современного общества.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Использование программно-целевого метода для решения проблем развития отрасли культуры направлено на создание условий для максимально эффективного управления финансовыми ресурсами в соответствии с приоритетами государственной культурной политики в условиях бюджетных  ограничений. Сложившаяся практика предусматривает активное участие в конкурсах и фестивалях как отдельных исполнителей так и  различных творческих коллективов района.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Поскольку естественной сферой функционирования традиций народной культуры является сельская социокультурная среда, перспективы становления новой государственности напрямую зависят от ее структурной организованности и целостности.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На базе учреждения культуры района проводится работа по поиску функциональных возможностей явлений традиционной культуры в различных сферах общественного бытия, определения способов взаимодействия культурного наследия с современностью, разработке методов включения содержания традиционной культуры в контекст современной культуры, формирование организационной структуры деятельности по сохранению и восстановлению народных традиций.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результате целенаправленной деятельности были проработаны организационные модели и формы, способствующие изучению и освоению народных традиций, восстановлению их роли и значения в обустройстве государственной и общественной жизни; создается база фольклорно-этнографических материалов, разносторонне отражающая содержание культурных традиций Троснянского края.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Но есть и много нерешенных вопросов. Органы местного самоуправления сельских поселений не в состоянии финансово приступить к модернизации материально-технической базы учреждений культуры, расположенных на территории их поселений. В сельских учреждениях культуры отсутствуют в необходимом количестве звуко-  и видеовоспроизводящая техника.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Здоровье нации, здоровье молодежи и подростков в настоящее время - это не только проблема здравоохранения, но и проблема образования и культуры. Именно поэтому учреждениями культуры района уделяется большое внимание этому аспекту работы.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условиях обострения общественных проблем особенно остро ставятся вопросы  пропаганды здорового образа жизни. Вся работа по формированию здорового образа жизни проходит в тесном сотрудничестве с сопричастными организациями, курирующими работу с молодежью, физкультуре и спорту. Целями и задачами этого направления работы является обучение подростков умению противостоять разрушительным для здоровья формам поведения, развития познавательной активности и коммуникативной компетенции.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1.3.3. Создание благоприятных условий для обеспечения творчества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и развития    культурно-информационного пространства.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Сохранение материального и нематериального культурного наследия.</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Программными мероприятиями планируется создать благоприятные условия для  развития профессионального мастерства  и самодеятельного народного творчества. На протяжении 10 лет учреждениями культуры района проводится определенная работа по сбору и  обновлению фольклорного материала. Во время экспедиций по району будет продолжен сбор песенного материала и закупка народных костюмов, предметов быта, лучших изделий народных мастеров. Проводится активное творческое сотрудничество с фольклорным коллективом «Взойди,  солнце» областного центра культуры. Особую ценность представляют уникальные фольклорные записи, отображающие историю и культуру Троснянского края, взятые в репертуар этого коллектива, а также других фольклорных коллективов Орловской области. То как востребованы фольклорные материалы, доказывает, что история русской культуры и народного быта не канула в лету, а сохранилась в магических песнях и обрядах.</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У наших людей велик интерес к историческому прошлому своей Родины, своего народа, края, города, села. К концу 19 века обрядность была сильно разрушена. Многое из нее забылось или переосмыслено, особенно это наблюдалось у русских.</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Традиционная празднично-обрядовая культура представляет поистине уникальные возможности для ее реализации. Русские народные праздники и обряды- одно из наиболее ярких составных частей традиционной художественной культуры. Народные обычаи, обогащенные новым идейным содержанием, созвучные интересам наших людей и сегодня. В районе  большой популярностью пользуется проведение  народных массовых мероприятий с элементами  обрядовой поэзии.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Задача работников культуры района состоит в том, чтобы с помощью праздников и обрядов удовлетворить потребности в духовном общении людей, приобщить их к духовным и нравственным ценностям. Речь идет не просто о широком, а  о художественно-оформленном общении. В настоящее время только благодаря учреждениям культуры традиционная культура сохраняется, возрождается и развивается, что очень важно для будущего поколения россиян.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1.3.4. Обновление специального оборудования организаций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Важной задачей программы является обновление специального оборудования организаций культуры, оснащение которых существенно отстает от современных требований.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Поддержка и развитие материально-технической базы учреждений культуры и искусств является одним из основных условий успешного функционирования социокультурного процесса. На сегодня развитие материальной базы является самой острой проблемой.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Осуществление мер по противопожарной безопасности в учреждениях культуры района требует приобретения и установки современной охранно-пожарной сигнализации.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Острейшей проблемой в учреждениях культуры является слабая техническая база, решение которой требует определенных финансовых вложений. Устаревшая база светооборудования, звукотехники требует  приобретения свето- и звукотехнического оборудования, а также поддержку имеющегося  в рабочем состоянии. Износ фонда составляет 70%.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рамках реализации Программы продолжится  работа по модернизированию библиотечного оборудования для обеспечения комфортных условий посетителям учреждений и внедрения новых технологий.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Введение новой специализации «Обработка глины» в детской школе искусств остро ставит решение вопроса по приобретению специального оборудования – муфельной печи.</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1.3.5. Проведение строительных и ремонтных работ.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рамках реализации Программы предусмотрен ремонт фасада здания районного дома культуры, ремонт крыши и фасада здания отдела культуры.</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1.3.6. Обеспечение единого культурного  информационного пространства и     повышение доступности культурных благ для населения района.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годы формирования рыночной экономики усилилось социальное расслоение общества, ослабли межнациональные и межрегиональные связи, что привело к сокращению устоявшихся культурных связей, ослаблению традиций , замене социальных ориентиров и ценностей.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Реализация указанной цели в период выполнения программы означает создание условий, при которых основной спектр услуг в сфере культуры был бы доступен всем гражданам, проживающим на территории района.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Достижение указанной цели предполагает: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организацию семинаров-тренингов, научно-практических конференций для работников учреждений культуры района;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обеспечение участия творческих коллективов района в областных и Всероссийских смотрах-конкурсах и фестивалях;</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развитие сети общедоступных центров официальной , правовой и деловой информации.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ситуации быстрого распространения информационно-коммуникационных технологий возникает и дополнительная возможность, связанная с созданием «электронных продуктов» культуры, доступных для самых широких слоев населения.</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1.3.7. Разработка и внедрение информационных продуктов и      технологий в сфере культуры.</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условиях становления информационного общества, сохранение конкурентно- способности культуры в большей мере зависит от увеличения удельного веса ее  информационной составляющей. Достижение указанной цели </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1.3.8. Интеграция в культурно-информационный процесс.</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рамках реализации Программы отделом культуры планируется издание видеофильма «Культурная жизнь края» компакт-диска по творчеству народного коллектива «Хор русской песни» в целях популяризации и распространения наработанного творческого потенциала работников культуры района.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Создание видеофильма расширит культурное пространство, обеспечит сохранность культурных ценностей и гарантирующий доступ к ним граждан</w:t>
      </w:r>
    </w:p>
    <w:p>
      <w:pPr>
        <w:jc w:val="both"/>
        <w:textAlignment w:val="auto"/>
        <w:ind w:firstLine="709" w:left="0" w:right="0" w:start="0" w:end="0"/>
        <w:adjustRightInd w:val="true"/>
        <w:spacing w:after="0" w:line="240"/>
        <w:bidi w:val="false"/>
        <w:tabs>
          <w:tab w:val="left" w:pos="4037"/>
        </w:tabs>
        <w:rPr>
          <w:rFonts w:ascii="Arial" w:eastAsia="Arial" w:hAnsi="Arial" w:cs="Arial"/>
          <w:sz w:val="24"/>
        </w:rPr>
      </w:pPr>
      <w:r>
        <w:rPr>
          <w:rFonts w:ascii="Arial" w:eastAsia="Arial" w:hAnsi="Arial" w:cs="Arial"/>
          <w:sz w:val="24"/>
        </w:rPr>
        <w:tab/>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1.4 Анализ слабых и сильных сторон муниципальной отрасли культуры.</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Развитие отрасли культуры на территории Троснянского района требует применение комплексного подхода. Для развития отрасли культура посредством поэтапного планирования и аккумулирования разных источников финансирования необходимо четкое определение существующих проблем.</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Анализ проблем сильных и слабых сторон , а также перспективы возможного развития и существующие риски развития муниципальной отрасли культуры представлены в следующем описании:</w:t>
      </w:r>
    </w:p>
    <w:p>
      <w:pPr>
        <w:jc w:val="both"/>
        <w:textAlignment w:val="auto"/>
        <w:ind w:firstLine="709"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Сильные стороны: 1. Высокий культурно-исторический  потенциал.</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 Проведение большого количества мероприятий (фестивали,  конкурсы, праздники и т.д.)</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 Активная позиция и заинтересованное отношение     руководства района к проблемам развития отрасли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4. Высокий кадровый потенциал работников сферы культуры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района.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Слабые стороны:  1. Недостаточное привлечение  дополнительных инвестиций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сфере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 Слабая информированность населения о культурном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потенциале района, отсутствие специальной информации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на улицах, сервисных объектах.</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 Недостаточный уровень комплектования и формирования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библиотечного фонда.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4. Недостаточные темпы внедрения информационно-</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коммуникационных технологий в библиотечном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обслуживании читателей.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5. Устаревшая материально-техническая база учреждений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Возможности:      1. Сохранение культурного наследия.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 Рост количества услуг, представляемых учреждениями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сферы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 Развитие и поддержка самодеятельного и народного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творчества.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4. Популяризация чтения, формирование необходимого уровня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читательской компетентности населения как важнейший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национальной задачи.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5. Повышение социального статуса работников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6. Инновационное развитие дополнительного образования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сферы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Угрозы:                 1. Разрыв между имеющимся культурным потенциалом и его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фактическим использованием.</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 Изменение муниципальных законодательных актов в части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финансирования отрасли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 Недостаточно отработанный механизм научного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планирования развития отрасли.</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Грамотное использование сильных сторон отрасли культуры и целенаправленное воздействие на проблемные направления станут залогом успешного исполнения Программы, а ее реализация, в свою очередь, будет способствовать:</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привлечению дополнительных средств в отрасли культуры;</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развитию муниципальной инфраструктуры сферы культуры.</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1.5. Основания для развития отрасли культуры на базе программно-    целевого метода.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Учитывая множественность задач, связанных с развитием сферы культуры района, наиболее действенным инструментом для их решения является программно-целевой метод. Он позволяет охватить значительный комплекс проблем с учетом муниципального использования ресурсного потенциала (бюджетных и внебюджетных средств) на развитие приоритетных направлений сферы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Правовую основу для разработки Программы составляют: основы законодательства Российской Федерации о культуре от 9 октября 1992 года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3612-1, постановление Правительства Российской Федерации от 8 декабря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2005 года №740 «О федеральной целевой программе «Культура России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(2006-2011 годы)».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Программно-целевой метод доказал свою эффективность как на федеральном, так и на региональном уровнях. Следует также отметить, что для сферы культуры характерен кумулятивный эффект, когда максимальное вложение денежных средств проявляется через несколько лет постоянных вложений. Поэтому  существует необходимость в сохранении выбранного курса развития сферы культуры и продолжении реализации этого направления именно программно-целевым методом для достижения более высоких результатов.</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Однако в условиях экономического кризиса устойчивое развитие сферы культуры невозможно обеспечить без внедрения эффективных механизмов государственной поддержки.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Определенные показатели в рамках реализации Программы позволят оперативно оценивать эффективность и вносить необходимые коррективы в рамках намеченных программных мероприятий. Рассматривая развитие сферы культуры, следует признать, что учреждения культуры способствуют развитию района, позволяя в большей степени учитывать интересы населения в реализации их культурных потребностей.</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 Цели и задачи Программы, сроки и этапы ее реализации,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целевые индикаторы и показатели.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2.1. Цели и задачи Программы.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Проведенный анализ состояния отрасли и определение приоритетных направлений дальнейшего развития культуры Троснянского района позволяют определить стратегическую цель: развитие отрасли культуры Троснянского района.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Подцели Программы: сохранение недвижимых памятников истории  культуры, сохранение и развитие системы художественного образования и поддержка молодых дарований, адресная поддержка культуры, искусства и народного творчества, сохранение материального и нематериального культурного наследия, обновление специального оборудования организации культуры, проведение строительных и ремонтных работ на объектах культуры, обеспечение культурного обмена и расширение использования виртуальных продуктов культуры, разработка и внедрение информационных продуктов и технологии в сфере культуры.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Исходя из цели Программы, а также анализа сложившихся тенденций в отрасли культуры, с учетом экономической и правовой среды функционирования учреждений культуры, задачами Программы являются: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обеспечение сохранности культурного наследия Троснянского района;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сохранение и развитие системы художественного образования, поддержка творчески одаренных детей; </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адресная поддержка самодеятельного искусства и народного творчества;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приведение учреждений культуры в соответствие  с современными требованиями к качеству предоставляемых услуг;</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обеспечение единого культурно-информационного пространства и повышение доступности культурных благ для населения Троснянского района;</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пополнение, обеспечение сохранности библиотечных фондов;</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-нормативно-правовое, организационно-методическое и информационно-техническое обеспечение деятельности учреждений культуры;</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разработка  и внедрение информационных продуктов и технологий в сфере культуры.</w:t>
      </w:r>
    </w:p>
    <w:p>
      <w:pPr>
        <w:jc w:val="both"/>
        <w:textAlignment w:val="auto"/>
        <w:ind w:firstLine="709"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2.2. Сроки и этапы реализации Программы.</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Программа будет реализовываться в 2011-2015 годах в 2 этапа.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Подготовительный этап (2011-2012гг) включает в себя разработку основных мероприятий по сохранению объектов культурного наследия, реализацию основных мер по повышению посещений библиотек, формирование основных традиционных культурно-досуговых мероприятий, разработку нормативно-правовых основ сферы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Вышеперечисленные мероприятия должны сформировать  основу  для достижения цели и задач Программы.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Основной этап (2013-2015гг) предполагает завершение работ по реставрации и ремонту объектов культурного наследия.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результате реализации 2 этапа развития Программы ожидается значительный рост основных параметров, характеризующих деятельность в сфере культуры района.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2.3. Целевые индикаторы и показатели эффективности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реализации Программы. </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Показатели эффективности реализации Программы по целевым индикаторам рассмотрены по двум  критериям оценки (позитивный сценарий развития и негативный сценарий развития) и представлены в следующей таблице: </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bl>
      <w:tblPr>
        <w:tblLayout w:type="autofit"/>
        <w:tblInd w:w="0" w:type="dxa"/>
        <w:tblW w:w="0" w:type="auto"/>
        <w:tblCellMar>
          <w:bottom w:w="0" w:type="dxa"/>
          <w:left w:w="108" w:type="dxa"/>
          <w:right w:w="108" w:type="dxa"/>
          <w:top w:w="0" w:type="dxa"/>
        </w:tblCellMar>
        <w:tblBorders>
          <w:left w:sz="4" w:space="0" w:val="single"/>
          <w:right w:sz="4" w:space="0" w:val="single"/>
          <w:top w:sz="4" w:space="0" w:val="single"/>
          <w:bottom w:sz="4" w:space="0" w:val="single"/>
          <w:insideV w:sz="4" w:space="0" w:val="single"/>
          <w:insideH w:sz="4" w:space="0" w:val="single"/>
        </w:tblBorders>
      </w:tblPr>
      <w:tblGrid>
        <w:gridCol w:w="2264"/>
        <w:gridCol w:w="2644"/>
        <w:gridCol w:w="2313"/>
        <w:gridCol w:w="2352"/>
      </w:tblGrid>
      <w:tr>
        <w:tc>
          <w:tcPr>
            <w:tcW w:type="dxa" w:w="226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Целевой индикатор</w:t>
            </w:r>
          </w:p>
        </w:tc>
        <w:tc>
          <w:tcPr>
            <w:tcW w:type="dxa" w:w="264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Описание показателя</w:t>
            </w:r>
          </w:p>
        </w:tc>
        <w:tc>
          <w:tcPr>
            <w:tcW w:type="dxa" w:w="2313"/>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Позитивный сценарий развития</w:t>
            </w:r>
          </w:p>
        </w:tc>
        <w:tc>
          <w:tcPr>
            <w:tcW w:type="dxa" w:w="235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Негативный сценарий развития</w:t>
            </w:r>
          </w:p>
        </w:tc>
      </w:tr>
      <w:tr>
        <w:tc>
          <w:tcPr>
            <w:tcW w:type="dxa" w:w="226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w:t>
            </w:r>
          </w:p>
        </w:tc>
        <w:tc>
          <w:tcPr>
            <w:tcW w:type="dxa" w:w="264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w:t>
            </w:r>
          </w:p>
        </w:tc>
        <w:tc>
          <w:tcPr>
            <w:tcW w:type="dxa" w:w="2313"/>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w:t>
            </w:r>
          </w:p>
        </w:tc>
        <w:tc>
          <w:tcPr>
            <w:tcW w:type="dxa" w:w="235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4</w:t>
            </w:r>
          </w:p>
        </w:tc>
      </w:tr>
      <w:tr>
        <w:tc>
          <w:tcPr>
            <w:tcW w:type="dxa" w:w="226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Целевой индикатор 1</w:t>
            </w:r>
          </w:p>
        </w:tc>
        <w:tc>
          <w:tcPr>
            <w:tcW w:type="dxa" w:w="264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Доля объектов культурного наследия, находящихся в удовл.</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состоянии ,в общем количестве объектов культурного наследия</w:t>
            </w:r>
          </w:p>
        </w:tc>
        <w:tc>
          <w:tcPr>
            <w:tcW w:type="dxa" w:w="2313"/>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Рост 3% за время реализации Программы</w:t>
            </w:r>
          </w:p>
        </w:tc>
        <w:tc>
          <w:tcPr>
            <w:tcW w:type="dxa" w:w="235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Рост 1% за время реализации Программы</w:t>
            </w:r>
          </w:p>
        </w:tc>
      </w:tr>
      <w:tr>
        <w:tc>
          <w:tcPr>
            <w:tcW w:type="dxa" w:w="226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Целевой индикатор 2</w:t>
            </w:r>
          </w:p>
        </w:tc>
        <w:tc>
          <w:tcPr>
            <w:tcW w:type="dxa" w:w="264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Количество паспортизированных объектов культурного наследия</w:t>
            </w:r>
          </w:p>
        </w:tc>
        <w:tc>
          <w:tcPr>
            <w:tcW w:type="dxa" w:w="2313"/>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Рост 3% ежегодно</w:t>
            </w:r>
          </w:p>
        </w:tc>
        <w:tc>
          <w:tcPr>
            <w:tcW w:type="dxa" w:w="235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Рост 1% ежегодно</w:t>
            </w:r>
          </w:p>
        </w:tc>
      </w:tr>
      <w:tr>
        <w:tc>
          <w:tcPr>
            <w:tcW w:type="dxa" w:w="226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Целевой индикатор 3</w:t>
            </w:r>
          </w:p>
        </w:tc>
        <w:tc>
          <w:tcPr>
            <w:tcW w:type="dxa" w:w="264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Обеспеченность объектов культурного наследия учетной документации</w:t>
            </w:r>
          </w:p>
        </w:tc>
        <w:tc>
          <w:tcPr>
            <w:tcW w:type="dxa" w:w="2313"/>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Рост 3% ежегодно</w:t>
            </w:r>
          </w:p>
        </w:tc>
        <w:tc>
          <w:tcPr>
            <w:tcW w:type="dxa" w:w="235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Рост 1% ежегодно</w:t>
            </w:r>
          </w:p>
        </w:tc>
      </w:tr>
      <w:tr>
        <w:tc>
          <w:tcPr>
            <w:tcW w:type="dxa" w:w="226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Целевой индикатор 4</w:t>
            </w:r>
          </w:p>
        </w:tc>
        <w:tc>
          <w:tcPr>
            <w:tcW w:type="dxa" w:w="264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Количество концертов</w:t>
            </w:r>
          </w:p>
        </w:tc>
        <w:tc>
          <w:tcPr>
            <w:tcW w:type="dxa" w:w="2313"/>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5-7 концертов ежегодно</w:t>
            </w:r>
          </w:p>
        </w:tc>
        <w:tc>
          <w:tcPr>
            <w:tcW w:type="dxa" w:w="235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1-2 концерта ежегодно</w:t>
            </w:r>
          </w:p>
        </w:tc>
      </w:tr>
      <w:tr>
        <w:tc>
          <w:tcPr>
            <w:tcW w:type="dxa" w:w="226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Целевой индикатор 5</w:t>
            </w:r>
          </w:p>
        </w:tc>
        <w:tc>
          <w:tcPr>
            <w:tcW w:type="dxa" w:w="264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Количество выставок</w:t>
            </w:r>
          </w:p>
        </w:tc>
        <w:tc>
          <w:tcPr>
            <w:tcW w:type="dxa" w:w="2313"/>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 выставок ежегодно</w:t>
            </w:r>
          </w:p>
        </w:tc>
        <w:tc>
          <w:tcPr>
            <w:tcW w:type="dxa" w:w="235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1-3 выставки ежегодно</w:t>
            </w:r>
          </w:p>
        </w:tc>
      </w:tr>
      <w:tr>
        <w:tc>
          <w:tcPr>
            <w:tcW w:type="dxa" w:w="226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Целевой индикатор 6</w:t>
            </w:r>
          </w:p>
        </w:tc>
        <w:tc>
          <w:tcPr>
            <w:tcW w:type="dxa" w:w="264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Книгообеспеченность (число изданий в библиотеках/ число читателей)</w:t>
            </w:r>
          </w:p>
        </w:tc>
        <w:tc>
          <w:tcPr>
            <w:tcW w:type="dxa" w:w="2313"/>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Рост 0,1-0,2 % ежегодно</w:t>
            </w:r>
          </w:p>
        </w:tc>
        <w:tc>
          <w:tcPr>
            <w:tcW w:type="dxa" w:w="235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Показатель остается на уровне предыдущего года</w:t>
            </w:r>
          </w:p>
        </w:tc>
      </w:tr>
      <w:tr>
        <w:tc>
          <w:tcPr>
            <w:tcW w:type="dxa" w:w="226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Целевой индикатор 7</w:t>
            </w:r>
          </w:p>
        </w:tc>
        <w:tc>
          <w:tcPr>
            <w:tcW w:type="dxa" w:w="264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Обновляемость фонда (число поступлений / к общему фонду)</w:t>
            </w:r>
          </w:p>
        </w:tc>
        <w:tc>
          <w:tcPr>
            <w:tcW w:type="dxa" w:w="2313"/>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Рост 0,05-0,07% ежегодно</w:t>
            </w:r>
          </w:p>
        </w:tc>
        <w:tc>
          <w:tcPr>
            <w:tcW w:type="dxa" w:w="235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Показатель остается на уровне предыдущего года</w:t>
            </w:r>
          </w:p>
        </w:tc>
      </w:tr>
      <w:tr>
        <w:tc>
          <w:tcPr>
            <w:tcW w:type="dxa" w:w="226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Целевой индикатор 8</w:t>
            </w:r>
          </w:p>
        </w:tc>
        <w:tc>
          <w:tcPr>
            <w:tcW w:type="dxa" w:w="264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Прирост количества документов на электронных  носит.</w:t>
            </w:r>
          </w:p>
        </w:tc>
        <w:tc>
          <w:tcPr>
            <w:tcW w:type="dxa" w:w="2313"/>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Рост 0,1% ежегодно</w:t>
            </w:r>
          </w:p>
        </w:tc>
        <w:tc>
          <w:tcPr>
            <w:tcW w:type="dxa" w:w="235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Показатель остается на уровне предыдущего года</w:t>
            </w:r>
          </w:p>
        </w:tc>
      </w:tr>
      <w:tr>
        <w:tc>
          <w:tcPr>
            <w:tcW w:type="dxa" w:w="226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Целевой индикатор 9</w:t>
            </w:r>
          </w:p>
        </w:tc>
        <w:tc>
          <w:tcPr>
            <w:tcW w:type="dxa" w:w="264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Доля библиотек, имеющих доступ в интернет</w:t>
            </w:r>
          </w:p>
        </w:tc>
        <w:tc>
          <w:tcPr>
            <w:tcW w:type="dxa" w:w="2313"/>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Рост 2% ежегодно</w:t>
            </w:r>
          </w:p>
        </w:tc>
        <w:tc>
          <w:tcPr>
            <w:tcW w:type="dxa" w:w="235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Показатель остается на уровне предыдущего года</w:t>
            </w:r>
          </w:p>
        </w:tc>
      </w:tr>
      <w:tr>
        <w:tc>
          <w:tcPr>
            <w:tcW w:type="dxa" w:w="226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Целевой индикатор 10</w:t>
            </w:r>
          </w:p>
        </w:tc>
        <w:tc>
          <w:tcPr>
            <w:tcW w:type="dxa" w:w="264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Прирост модельных сельских библиотек </w:t>
            </w:r>
          </w:p>
        </w:tc>
        <w:tc>
          <w:tcPr>
            <w:tcW w:type="dxa" w:w="2313"/>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Рост 1% ежегодно</w:t>
            </w:r>
          </w:p>
        </w:tc>
        <w:tc>
          <w:tcPr>
            <w:tcW w:type="dxa" w:w="235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Показатель остается на уровне предыдущего года</w:t>
            </w:r>
          </w:p>
        </w:tc>
      </w:tr>
      <w:tr>
        <w:tc>
          <w:tcPr>
            <w:tcW w:type="dxa" w:w="226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Целевой индикатор 11</w:t>
            </w:r>
          </w:p>
        </w:tc>
        <w:tc>
          <w:tcPr>
            <w:tcW w:type="dxa" w:w="264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Ежегодный рост количества посещений населением культурно-массовых мероприятий</w:t>
            </w:r>
          </w:p>
        </w:tc>
        <w:tc>
          <w:tcPr>
            <w:tcW w:type="dxa" w:w="2313"/>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Рост 3-4% ежегодно</w:t>
            </w:r>
          </w:p>
        </w:tc>
        <w:tc>
          <w:tcPr>
            <w:tcW w:type="dxa" w:w="235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Рост 1-2% ежегодно</w:t>
            </w:r>
          </w:p>
        </w:tc>
      </w:tr>
      <w:tr>
        <w:tc>
          <w:tcPr>
            <w:tcW w:type="dxa" w:w="226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Целевой индикатор 12 </w:t>
            </w:r>
          </w:p>
        </w:tc>
        <w:tc>
          <w:tcPr>
            <w:tcW w:type="dxa" w:w="264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Увеличение количества культурно-досуговых мероприятий в одном учреждении по сравнению с предыдущим годом</w:t>
            </w:r>
          </w:p>
        </w:tc>
        <w:tc>
          <w:tcPr>
            <w:tcW w:type="dxa" w:w="2313"/>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Рост 2% ежегодно</w:t>
            </w:r>
          </w:p>
        </w:tc>
        <w:tc>
          <w:tcPr>
            <w:tcW w:type="dxa" w:w="235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Показатель остается на уровне предыдущего года</w:t>
            </w:r>
          </w:p>
        </w:tc>
      </w:tr>
    </w:tbl>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 Система программных мероприятий, индикаторы оценки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результатов реализации мероприятий Программы</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Система программных мероприятий состоит из 5 основных блоков, полностью соотнесенных с целью и задачами Программы и направлена на решение конкретных проблем в отрасли культуры. Определяющим фактором должно стать осуществление единой культурной политики на территории Троснянского района, дальнейшее усиление поддержки отрасли культуры со стороны государственных органов (в том числе в вопросах внедрения современных технологий и коммуникаций в деятельность учреждений культуры), осуществление единого целенаправленного процесса сохранения и укрепления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социокультурного пространства области на основе исторически  сложившихся традиций.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Программа развития отрасли культуры на 2011-2015гг представляет собой совокупность обеспеченных финансовыми и организационными ресурсами скоординированных по задачам, срокам и исполнителям проектов и мероприятий культурной деятельности, направленных:</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на решение вопросов устойчивого функционирования отрасли культуры района: сохранение культурного наследия и развитие культурного потенциала, формирование образа территории, обладающей собственной культурной уникальностью и самобытностью, создание правовых, организационных, экономических условий для успешной деятельности и развития учреждений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развитие отрасли культуры в соответствии с требованиями сегодняшнего дня и особенностями 21 века посредством освоения инновационных технологий, модернизация отрасли, укрепление и развитие ее  инфраструктуры с целью усиления роли учреждений культуры в организации культурного отдыха населения и формирования духовно-нравственных основ личности;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сохранение единого информационного и культурного пространства на территории района;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повышение культурного имиджа района на областном уровне.</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Достижение целевых показателей обеспечит реализация следующих мероприятий в рамках Программы.                 </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3.1. Сохранение  культурного наследия Троснянского района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Сохранение недвижимых памятников истории культуры.</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firstLine="708"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целях популяризации и сохранения объектов культурного наследия, расположенных на территории области, необходимо реализовать следующий комплекс мероприятий:</w:t>
      </w:r>
    </w:p>
    <w:p>
      <w:pPr>
        <w:jc w:val="both"/>
        <w:textAlignment w:val="auto"/>
        <w:ind w:firstLine="708"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паспортизация братских захоронений и мемориалов; </w:t>
      </w:r>
    </w:p>
    <w:p>
      <w:pPr>
        <w:jc w:val="both"/>
        <w:textAlignment w:val="auto"/>
        <w:ind w:firstLine="708"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реставрационные ремонтные работы.</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3.2. Поддержка и распространение лучших традиций и достижений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культуры  района.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shd w:fill="ffffff"/>
        <w:rPr>
          <w:rFonts w:ascii="Arial" w:eastAsia="Arial" w:hAnsi="Arial" w:cs="Arial"/>
          <w:sz w:val="24"/>
        </w:rPr>
      </w:pPr>
      <w:r>
        <w:rPr>
          <w:rFonts w:ascii="Arial" w:eastAsia="Arial" w:hAnsi="Arial" w:cs="Arial"/>
          <w:sz w:val="24"/>
        </w:rPr>
        <w:t xml:space="preserve">Решение данной задачи предполагает выполнение мероприятий направленных:</w:t>
      </w:r>
    </w:p>
    <w:p>
      <w:pPr>
        <w:jc w:val="both"/>
        <w:textAlignment w:val="auto"/>
        <w:ind w:left="0" w:right="0" w:start="0" w:end="0"/>
        <w:adjustRightInd w:val="true"/>
        <w:spacing w:after="0" w:line="240"/>
        <w:bidi w:val="false"/>
        <w:shd w:fill="ffffff"/>
        <w:rPr>
          <w:rFonts w:ascii="Arial" w:eastAsia="Arial" w:hAnsi="Arial" w:cs="Arial"/>
          <w:sz w:val="24"/>
        </w:rPr>
      </w:pPr>
      <w:r>
        <w:rPr>
          <w:rFonts w:ascii="Arial" w:eastAsia="Arial" w:hAnsi="Arial" w:cs="Arial"/>
          <w:sz w:val="24"/>
        </w:rPr>
        <w:t xml:space="preserve">         на сохранение и развитие системы художественного образования и поддержку молодых дарований;</w:t>
      </w:r>
    </w:p>
    <w:p>
      <w:pPr>
        <w:jc w:val="both"/>
        <w:textAlignment w:val="auto"/>
        <w:ind w:left="0" w:right="0" w:start="0" w:end="0"/>
        <w:adjustRightInd w:val="true"/>
        <w:spacing w:after="0" w:line="240"/>
        <w:bidi w:val="false"/>
        <w:shd w:fill="ffffff"/>
        <w:rPr>
          <w:rFonts w:ascii="Arial" w:eastAsia="Arial" w:hAnsi="Arial" w:cs="Arial"/>
          <w:sz w:val="24"/>
        </w:rPr>
      </w:pPr>
      <w:r>
        <w:rPr>
          <w:rFonts w:ascii="Arial" w:eastAsia="Arial" w:hAnsi="Arial" w:cs="Arial"/>
          <w:sz w:val="24"/>
        </w:rPr>
        <w:t xml:space="preserve">         на адресную поддержку культуры, искусства народного творчества;</w:t>
      </w:r>
    </w:p>
    <w:p>
      <w:pPr>
        <w:jc w:val="both"/>
        <w:textAlignment w:val="auto"/>
        <w:ind w:left="0" w:right="0" w:start="0" w:end="0"/>
        <w:adjustRightInd w:val="true"/>
        <w:spacing w:after="0" w:line="240"/>
        <w:bidi w:val="false"/>
        <w:shd w:fill="ffffff"/>
        <w:rPr>
          <w:rFonts w:ascii="Arial" w:eastAsia="Arial" w:hAnsi="Arial" w:cs="Arial"/>
          <w:sz w:val="24"/>
        </w:rPr>
      </w:pPr>
      <w:r>
        <w:rPr>
          <w:rFonts w:ascii="Arial" w:eastAsia="Arial" w:hAnsi="Arial" w:cs="Arial"/>
          <w:sz w:val="24"/>
        </w:rPr>
        <w:t xml:space="preserve">         на воспитание гражданственности и патриотизма;</w:t>
      </w:r>
    </w:p>
    <w:p>
      <w:pPr>
        <w:jc w:val="both"/>
        <w:textAlignment w:val="auto"/>
        <w:ind w:left="0" w:right="0" w:start="0" w:end="0"/>
        <w:adjustRightInd w:val="true"/>
        <w:spacing w:after="0" w:line="240"/>
        <w:bidi w:val="false"/>
        <w:shd w:fill="ffffff"/>
        <w:rPr>
          <w:rFonts w:ascii="Arial" w:eastAsia="Arial" w:hAnsi="Arial" w:cs="Arial"/>
          <w:sz w:val="24"/>
        </w:rPr>
      </w:pPr>
      <w:r>
        <w:rPr>
          <w:rFonts w:ascii="Arial" w:eastAsia="Arial" w:hAnsi="Arial" w:cs="Arial"/>
          <w:sz w:val="24"/>
        </w:rPr>
        <w:t xml:space="preserve">         на пропаганду здорового образа жизни. </w:t>
      </w:r>
    </w:p>
    <w:p>
      <w:pPr>
        <w:jc w:val="both"/>
        <w:textAlignment w:val="auto"/>
        <w:ind w:left="0" w:right="0" w:start="0" w:end="0"/>
        <w:adjustRightInd w:val="true"/>
        <w:spacing w:after="0" w:line="240"/>
        <w:bidi w:val="false"/>
        <w:shd w:fill="ffffff"/>
        <w:rPr>
          <w:rFonts w:ascii="Arial" w:eastAsia="Arial" w:hAnsi="Arial" w:cs="Arial"/>
          <w:sz w:val="24"/>
        </w:rPr>
      </w:pPr>
    </w:p>
    <w:p>
      <w:pPr>
        <w:jc w:val="both"/>
        <w:textAlignment w:val="auto"/>
        <w:ind w:left="0" w:right="0" w:start="0" w:end="0"/>
        <w:adjustRightInd w:val="true"/>
        <w:spacing w:after="0" w:line="240"/>
        <w:bidi w:val="false"/>
        <w:shd w:fill="ffffff"/>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3.3. Создание благоприятных условий для обеспечения творчества и    развития    культурно-информационного пространства.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Решение это задачи предполагает выполнение мероприятий по:</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сохранению материального и нематериального культурного наследия;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 обновлению специального оборудования организации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 проведению строительных и ремонтных работ на объектах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 реализации проектов в сфере культуры: районный фестиваль самодеятельного народного творчества и проведение районных массовых мероприятий.</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3.4. Обеспечение единого культурно-информационного пространства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и повышение доступности культурных благ для населения района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Программе представлены следующие мероприятия: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обеспечение культурного обмена и расширение использования виртуальных продуктов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разработка и внедрение информационных продуктов и технологий в сфере культуры.</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hanging="720" w:left="1770" w:right="0" w:start="1770" w:end="0"/>
        <w:adjustRightInd w:val="true"/>
        <w:spacing w:after="0" w:line="240"/>
        <w:bidi w:val="false"/>
        <w:numPr>
          <w:ilvl w:val="1"/>
          <w:numId w:val="1"/>
        </w:numPr>
        <w:tabs>
          <w:tab w:val="left" w:pos="1770"/>
        </w:tabs>
        <w:rPr>
          <w:rFonts w:ascii="Arial" w:eastAsia="Arial" w:hAnsi="Arial" w:cs="Arial"/>
          <w:sz w:val="24"/>
        </w:rPr>
      </w:pPr>
      <w:r>
        <w:rPr>
          <w:rFonts w:ascii="Arial" w:eastAsia="Arial" w:hAnsi="Arial" w:cs="Arial"/>
          <w:sz w:val="24"/>
        </w:rPr>
        <w:t xml:space="preserve">Интеграция в культурно-информационный процесс</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Мероприятиями данного блока являются: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создание видеофильма «Культурная жизнь края»;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издание компакт-диска по творчеству народного коллектива «Русская песня».</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4.Обоснование ресурсного обеспечения Программы.</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Финансирование программных мероприятий предполагается осуществлять как за счет средств районного бюджета, так и путем привлечения средств бюджета сельских поселений и дополнительного финансирования (средства федерального и областного бюджетов).</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Объемы финансирования Программы за счет средств федерального ми областного бюджетов носят прогнозный характер и подлежат ежегодному уточнению в установленном порядке при формировании этих бюджетов на соответствующий год.</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Общий объем финансирования составит 4822 тысячи рублей, в том числе средств районного бюджета 1657 тысяч рублей, средства бюджетов сельских поселений 1485 тысяч рублей, внебюджетные средства 140 тысяч рублей; прогнозируемые объемы дополнительного финансирования: средства федерального бюджета- 540 тысяч рублей (12%), средства областного бюджета 1000 тысяч рублей (21%).</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Общая сумма расходов на финансирование Программы составит: 2011год- 1084 тысячи рублей, 2012 год- 928 тысяч рублей, 2013 год- 1248 тысяч рублей, 2014 год- 772 тысячи рублей, 2015 год-790 тысяч рублей.</w:t>
      </w:r>
    </w:p>
    <w:p>
      <w:pPr>
        <w:jc w:val="both"/>
        <w:textAlignment w:val="auto"/>
        <w:ind w:left="570" w:right="0" w:start="57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5. Механизм реализации Программы, управление реализацией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Программы.</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Заказчик Программы – администрация Троснянского района, финансировать реализацию Программы в пределах своих полномочий, осуществляет контроль за ходом ее реализации.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Разработчик Программы – отдел культуры администрации Троснянского района.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Ответственный исполнитель  Программы, которым является начальник отдела культуры, в своих действиях по обеспечению реализации Программы подотчетен заказчику и при реализации Программы: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осуществляет текущее управление реализацией Программы;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несет ответственность за своевременную и качественную реализацию программы, осуществляет управление ее исполнителями, обеспечивает эффективное использование средств, выделяемых на ее реализацию;</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ежегодно уточняет целевые показатели и затраты по программным мероприятиям;</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несет ответственность за полное целевое использование полученных денежных средств в соответствии с утвержденными объемами бюджетных  ассигнований и перечнем утвержденных мероприятий;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обеспечивает своевременное, в соответствии с установленными сроками представление в районный финансовый отдел полной и достоверной информации о ходе реализации программы;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уточняет перечень программных мероприятий, объем средств на очередной финансовый год и плановый период, а также механизм реализации Программы;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осуществляет межведомственное взаимодействие по реализации мероприятий Программы.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right"/>
        <w:textAlignment w:val="auto"/>
        <w:ind w:left="0" w:right="0" w:start="0" w:end="0"/>
        <w:adjustRightInd w:val="true"/>
        <w:spacing w:after="0" w:line="240"/>
        <w:bidi w:val="false"/>
        <w:rPr>
          <w:rFonts w:ascii="Arial" w:eastAsia="Arial" w:hAnsi="Arial" w:cs="Arial"/>
          <w:sz w:val="24"/>
        </w:rPr>
        <w:sectPr>
          <w:rtlGutter/>
          <w:type w:val="nextColumn"/>
          <w:cols w:num="1" w:space="720" w:equalWidth="true"/>
          <w:footnotePr>
            <w:pos w:val="pageBottom"/>
          </w:footnotePr>
          <w:lnNumType w:distance="0"/>
          <w:pgSz w:w="11909" w:h="16834"/>
          <w:pgMar w:left="1701" w:right="851" w:top="1134" w:bottom="1134" w:gutter="0" w:header="720" w:footer="720"/>
        </w:sectPr>
      </w:pP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Приложение 2</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к районной целевой программе</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«Развитие отрасли культуры</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Троснянского района на</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2011-2015 гг.»</w:t>
      </w:r>
    </w:p>
    <w:tbl>
      <w:tblPr>
        <w:tblLayout w:type="fixed"/>
        <w:tblInd w:w="-72" w:type="dxa"/>
        <w:tblW w:w="17659" w:type="dxa"/>
        <w:tblCellMar>
          <w:bottom w:w="0" w:type="dxa"/>
          <w:left w:w="108" w:type="dxa"/>
          <w:right w:w="108" w:type="dxa"/>
          <w:top w:w="0" w:type="dxa"/>
        </w:tblCellMar>
        <w:tblBorders>
          <w:left w:sz="4" w:space="0" w:val="single"/>
          <w:right w:sz="4" w:space="0" w:val="single"/>
          <w:top w:sz="4" w:space="0" w:val="single"/>
          <w:bottom w:sz="4" w:space="0" w:val="single"/>
          <w:insideV w:sz="4" w:space="0" w:val="single"/>
          <w:insideH w:sz="4" w:space="0" w:val="single"/>
        </w:tblBorders>
      </w:tblPr>
      <w:tblGrid>
        <w:gridCol w:w="684"/>
        <w:gridCol w:w="3069"/>
        <w:gridCol w:w="7"/>
        <w:gridCol w:w="1460"/>
        <w:gridCol w:w="44"/>
        <w:gridCol w:w="16"/>
        <w:gridCol w:w="916"/>
        <w:gridCol w:w="1925"/>
        <w:gridCol w:w="718"/>
        <w:gridCol w:w="690"/>
        <w:gridCol w:w="14"/>
        <w:gridCol w:w="690"/>
        <w:gridCol w:w="13"/>
        <w:gridCol w:w="44"/>
        <w:gridCol w:w="510"/>
        <w:gridCol w:w="147"/>
        <w:gridCol w:w="507"/>
        <w:gridCol w:w="348"/>
        <w:gridCol w:w="737"/>
        <w:gridCol w:w="8"/>
        <w:gridCol w:w="2342"/>
        <w:gridCol w:w="554"/>
        <w:gridCol w:w="222"/>
        <w:gridCol w:w="332"/>
        <w:gridCol w:w="554"/>
        <w:gridCol w:w="554"/>
        <w:gridCol w:w="554"/>
      </w:tblGrid>
      <w:tr>
        <w:trHeight w:val="240" w:hRule="atLeast"/>
        <w:wAfter w:type="dxa" w:w="2770"/>
        <w:gridAfter w:val="6"/>
        <w:tc>
          <w:tcPr>
            <w:vMerge w:val="restart"/>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п/п</w:t>
            </w:r>
          </w:p>
        </w:tc>
        <w:tc>
          <w:tcPr>
            <w:vMerge w:val="restart"/>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Программные мероприятия,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обеспечивающие выполнение задач программы</w:t>
            </w:r>
          </w:p>
        </w:tc>
        <w:tc>
          <w:tcPr>
            <w:vMerge w:val="restart"/>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Исполнители мероприятий программы</w:t>
            </w:r>
          </w:p>
        </w:tc>
        <w:tc>
          <w:tcPr>
            <w:vMerge w:val="restart"/>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Срок исполне</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ния</w:t>
            </w:r>
          </w:p>
        </w:tc>
        <w:tc>
          <w:tcPr>
            <w:vMerge w:val="restart"/>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Источники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финансирования</w:t>
            </w:r>
          </w:p>
        </w:tc>
        <w:tc>
          <w:tcPr>
            <w:tcW w:type="dxa" w:w="4426"/>
            <w:tcBorders>
              <w:left w:sz="4" w:val="single"/>
              <w:top w:sz="4" w:val="single"/>
              <w:right w:sz="4" w:val="single"/>
              <w:bottom w:sz="4" w:val="single"/>
            </w:tcBorders>
            <w:shd w:val="nil"/>
            <w:vAlign w:val="top"/>
            <w:textDirection w:val="lrTb"/>
            <w:gridSpan w:val="1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Объем финансирования, тыс.руб. в ценах</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соответствующих лет</w:t>
            </w:r>
          </w:p>
        </w:tc>
        <w:tc>
          <w:tcPr>
            <w:vMerge w:val="restart"/>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Ожидаемый результат (эффект)</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 реализации мероприятий программы</w:t>
            </w:r>
          </w:p>
        </w:tc>
      </w:tr>
      <w:tr>
        <w:trHeight w:val="300" w:hRule="atLeast"/>
        <w:wAfter w:type="dxa" w:w="2770"/>
        <w:gridAfter w:val="6"/>
        <w:tc>
          <w:tcPr>
            <w:vMerge w:val="continue"/>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restart"/>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Всего</w:t>
            </w:r>
          </w:p>
        </w:tc>
        <w:tc>
          <w:tcPr>
            <w:tcW w:type="dxa" w:w="3708"/>
            <w:tcBorders>
              <w:left w:sz="4" w:val="single"/>
              <w:top w:sz="4" w:val="single"/>
              <w:right w:sz="4" w:val="single"/>
              <w:bottom w:sz="4" w:val="single"/>
            </w:tcBorders>
            <w:shd w:val="nil"/>
            <w:vAlign w:val="top"/>
            <w:textDirection w:val="lrTb"/>
            <w:gridSpan w:val="1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том числе по годам</w:t>
            </w:r>
          </w:p>
        </w:tc>
        <w:tc>
          <w:tcPr>
            <w:vMerge w:val="continue"/>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trHeight w:val="135" w:hRule="atLeast"/>
        <w:wAfter w:type="dxa" w:w="2770"/>
        <w:gridAfter w:val="6"/>
        <w:tc>
          <w:tcPr>
            <w:vMerge w:val="continue"/>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690"/>
            <w:tcBorders>
              <w:left w:sz="4" w:val="single"/>
              <w:top w:sz="4" w:val="single"/>
              <w:right w:val="nil"/>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w:t>
            </w:r>
          </w:p>
        </w:tc>
        <w:tc>
          <w:tcPr>
            <w:tcW w:type="dxa" w:w="704"/>
            <w:tcBorders>
              <w:left w:sz="4" w:val="single"/>
              <w:top w:sz="4" w:val="single"/>
              <w:right w:val="nil"/>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2012</w:t>
            </w:r>
          </w:p>
        </w:tc>
        <w:tc>
          <w:tcPr>
            <w:tcW w:type="dxa" w:w="714"/>
            <w:tcBorders>
              <w:left w:sz="4" w:val="single"/>
              <w:top w:sz="4" w:val="single"/>
              <w:right w:val="nil"/>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2013</w:t>
            </w:r>
          </w:p>
        </w:tc>
        <w:tc>
          <w:tcPr>
            <w:tcW w:type="dxa" w:w="855"/>
            <w:tcBorders>
              <w:left w:val="nil"/>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2014</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2015</w:t>
            </w:r>
          </w:p>
        </w:tc>
        <w:tc>
          <w:tcPr>
            <w:vMerge w:val="continue"/>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4</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5</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6</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7</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8</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9</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11</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12</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3076"/>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1520"/>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val="nil"/>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val="nil"/>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wAfter w:type="dxa" w:w="2770"/>
        <w:gridAfter w:val="6"/>
        <w:tc>
          <w:tcPr>
            <w:tcW w:type="dxa" w:w="14889"/>
            <w:tcBorders>
              <w:left w:sz="4" w:val="single"/>
              <w:top w:sz="4" w:val="single"/>
              <w:right w:sz="4" w:val="single"/>
              <w:bottom w:sz="4" w:val="single"/>
            </w:tcBorders>
            <w:shd w:val="nil"/>
            <w:vAlign w:val="top"/>
            <w:textDirection w:val="lrTb"/>
            <w:gridSpan w:val="2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 Сохранение культурного наследия Троснянского района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1.1. Сохранение недвижимых памятников истории культуры</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Паспортизация братских захоронений и мемориалов</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 сельские поселения</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Федерал.бюджет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Областной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Бюджет с/поселений</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Внебюджет  источн.</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110,0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110,0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120,0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Юридическое оформление</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Увеличение доли паспорт. объектов культурного наследия.</w:t>
            </w:r>
          </w:p>
        </w:tc>
      </w:tr>
      <w:tr>
        <w:trHeight w:val="135" w:hRule="atLeast"/>
        <w:wAfter w:type="dxa" w:w="2770"/>
        <w:gridAfter w:val="6"/>
        <w:tc>
          <w:tcPr>
            <w:vMerge w:val="restart"/>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vMerge w:val="restart"/>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,Реставрационные и ремонтные работы на объектах культурного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наследия </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vMerge w:val="restart"/>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Сельские поселения</w:t>
            </w:r>
          </w:p>
        </w:tc>
        <w:tc>
          <w:tcPr>
            <w:vMerge w:val="restart"/>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vMerge w:val="restart"/>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Улучшение состояния  объектов</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культурного наследия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r>
      <w:tr>
        <w:trHeight w:val="390" w:hRule="atLeast"/>
        <w:wAfter w:type="dxa" w:w="2770"/>
        <w:gridAfter w:val="6"/>
        <w:tc>
          <w:tcPr>
            <w:vMerge w:val="continue"/>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Федеральный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Областной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бюджет  с/поселений</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Внебюджетные источники</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120,0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1375,</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275,0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275,0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275,0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275,0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275,0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vMerge w:val="continue"/>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trHeight w:val="2365" w:hRule="atLeast"/>
        <w:wAfter w:type="dxa" w:w="2770"/>
        <w:gridAfter w:val="6"/>
        <w:tc>
          <w:tcPr>
            <w:vMerge w:val="continue"/>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916"/>
            <w:tcBorders>
              <w:left w:sz="4" w:val="single"/>
              <w:top w:sz="4" w:val="single"/>
              <w:right w:val="nil"/>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6351"/>
            <w:tcBorders>
              <w:left w:val="nil"/>
              <w:top w:val="nil"/>
              <w:right w:val="nil"/>
              <w:bottom w:sz="4" w:val="single"/>
            </w:tcBorders>
            <w:shd w:val="nil"/>
            <w:vAlign w:val="top"/>
            <w:textDirection w:val="lrTb"/>
            <w:gridSpan w:val="13"/>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2342"/>
            <w:tcBorders>
              <w:left w:val="nil"/>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Установка обелиска на Братском захоронении с.Тросна у РОВД</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Троснянское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с/пос.</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Районный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 -</w:t>
            </w:r>
          </w:p>
        </w:tc>
      </w:tr>
      <w:tr>
        <w:trHeight w:val="276" w:hRule="atLeast"/>
        <w:wAfter w:type="dxa" w:w="1994"/>
        <w:gridAfter w:val="4"/>
        <w:tc>
          <w:tcPr>
            <w:tcW w:type="dxa" w:w="684"/>
            <w:tcBorders>
              <w:left w:sz="4" w:val="single"/>
              <w:top w:sz="4" w:val="single"/>
              <w:right w:val="nil"/>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14981"/>
            <w:tcBorders>
              <w:left w:val="nil"/>
              <w:top w:sz="4" w:val="single"/>
              <w:right w:sz="4" w:val="single"/>
              <w:bottom w:sz="4" w:val="single"/>
            </w:tcBorders>
            <w:shd w:val="nil"/>
            <w:vAlign w:val="top"/>
            <w:textDirection w:val="lrTb"/>
            <w:gridSpan w:val="2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   Поддержка и распространение лучших традиций и достижений культуры района.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2.1. Сохранение и развитие системы художественного образования и поддержка молодых дарований.</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3069"/>
            <w:tcBorders>
              <w:left w:sz="4" w:val="single"/>
              <w:top w:val="nil"/>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конкурс детского художественного творчества «Гармония цвета».</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 школа искусств,</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образования</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2012-2014</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Внебюджетные источники</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45"/>
            <w:tcBorders>
              <w:left w:sz="4" w:val="single"/>
              <w:top w:sz="4" w:val="single"/>
              <w:right w:val="nil"/>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Формирование и развитие эстетических потребностей и вкусов всех социальных  и возрастных групп</w:t>
            </w:r>
          </w:p>
        </w:tc>
      </w:tr>
      <w:tr>
        <w:wAfter w:type="dxa" w:w="2770"/>
        <w:gridAfter w:val="6"/>
        <w:tc>
          <w:tcPr>
            <w:tcW w:type="dxa" w:w="684"/>
            <w:tcBorders>
              <w:left w:sz="4" w:val="single"/>
              <w:top w:sz="4" w:val="single"/>
              <w:right w:sz="4" w:val="single"/>
              <w:bottom w:val="nil"/>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tcW w:type="dxa" w:w="3069"/>
            <w:tcBorders>
              <w:left w:sz="4" w:val="single"/>
              <w:top w:sz="4" w:val="single"/>
              <w:right w:sz="4" w:val="single"/>
              <w:bottom w:val="nil"/>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Фестиваль детско-юношеского и молодежного творчества «Узоры родной страны»</w:t>
            </w:r>
          </w:p>
        </w:tc>
        <w:tc>
          <w:tcPr>
            <w:tcW w:type="dxa" w:w="1527"/>
            <w:tcBorders>
              <w:left w:sz="4" w:val="single"/>
              <w:top w:sz="4" w:val="single"/>
              <w:right w:sz="4" w:val="single"/>
              <w:bottom w:val="nil"/>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 школа искусств,</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образования</w:t>
            </w:r>
          </w:p>
        </w:tc>
        <w:tc>
          <w:tcPr>
            <w:tcW w:type="dxa" w:w="916"/>
            <w:tcBorders>
              <w:left w:sz="4" w:val="single"/>
              <w:top w:sz="4" w:val="single"/>
              <w:right w:sz="4" w:val="single"/>
              <w:bottom w:val="nil"/>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2013</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2014</w:t>
            </w:r>
          </w:p>
        </w:tc>
        <w:tc>
          <w:tcPr>
            <w:tcW w:type="dxa" w:w="1925"/>
            <w:tcBorders>
              <w:left w:sz="4" w:val="single"/>
              <w:top w:sz="4" w:val="single"/>
              <w:right w:sz="4" w:val="single"/>
              <w:bottom w:val="nil"/>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Внебюджетные ист.</w:t>
            </w:r>
          </w:p>
        </w:tc>
        <w:tc>
          <w:tcPr>
            <w:tcW w:type="dxa" w:w="718"/>
            <w:tcBorders>
              <w:left w:sz="4" w:val="single"/>
              <w:top w:sz="4" w:val="single"/>
              <w:right w:sz="4" w:val="single"/>
              <w:bottom w:val="nil"/>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w:t>
            </w:r>
          </w:p>
        </w:tc>
        <w:tc>
          <w:tcPr>
            <w:tcW w:type="dxa" w:w="704"/>
            <w:tcBorders>
              <w:left w:sz="4" w:val="single"/>
              <w:top w:sz="4" w:val="single"/>
              <w:right w:sz="4" w:val="single"/>
              <w:bottom w:val="nil"/>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val="nil"/>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01"/>
            <w:tcBorders>
              <w:left w:sz="4" w:val="single"/>
              <w:top w:sz="4" w:val="single"/>
              <w:right w:sz="4" w:val="single"/>
              <w:bottom w:val="nil"/>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507"/>
            <w:tcBorders>
              <w:left w:sz="4" w:val="single"/>
              <w:top w:sz="4" w:val="single"/>
              <w:right w:val="nil"/>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348"/>
            <w:tcBorders>
              <w:left w:val="nil"/>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конкурс и выставка декоративно-прикладного искусства «Красота земли Троснянской»</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Сельские поселения</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2012</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w:t>
            </w:r>
          </w:p>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855"/>
            <w:tcBorders>
              <w:left w:sz="4" w:val="single"/>
              <w:top w:sz="4" w:val="single"/>
              <w:right w:val="nil"/>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37"/>
            <w:tcBorders>
              <w:left w:sz="4" w:val="single"/>
              <w:top w:sz="4" w:val="single"/>
              <w:right w:val="nil"/>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2350"/>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Выявление мастеров- умельцев среди всех социально- возрастных  групп населения</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Творческий конкурс учащихся детской школы искусств «Искусство музицирования», «Ступени мастерства», « Путь к совершенству»</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 школа искусств</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Районный  бюджет</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Внебюджетные источники</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25,0</w:t>
            </w:r>
          </w:p>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855"/>
            <w:tcBorders>
              <w:left w:sz="4" w:val="single"/>
              <w:top w:sz="4" w:val="single"/>
              <w:right w:val="nil"/>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tc>
        <w:tc>
          <w:tcPr>
            <w:tcW w:type="dxa" w:w="737"/>
            <w:tcBorders>
              <w:left w:sz="4" w:val="single"/>
              <w:top w:sz="4" w:val="single"/>
              <w:right w:val="nil"/>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tc>
        <w:tc>
          <w:tcPr>
            <w:tcW w:type="dxa" w:w="2350"/>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Формирование и развитие эстетических потребностей и вкусов у детей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 -</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фестиваль детского художественного творчества « Я люблю тебя , Россия».</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 школа искусств, отдел образования</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2013</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Внебюджетные источники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w:t>
            </w:r>
          </w:p>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855"/>
            <w:tcBorders>
              <w:left w:sz="4" w:val="single"/>
              <w:top w:val="nil"/>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Выявление юных  талантов и дарований</w:t>
            </w:r>
          </w:p>
        </w:tc>
      </w:tr>
      <w:tr>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140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p>
        </w:tc>
        <w:tc>
          <w:tcPr>
            <w:tcW w:type="dxa" w:w="55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1002"/>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55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55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55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55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55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wAfter w:type="dxa" w:w="2770"/>
        <w:gridAfter w:val="6"/>
        <w:tc>
          <w:tcPr>
            <w:tcW w:type="dxa" w:w="14889"/>
            <w:tcBorders>
              <w:left w:sz="4" w:val="single"/>
              <w:top w:sz="4" w:val="single"/>
              <w:right w:sz="4" w:val="single"/>
              <w:bottom w:sz="4" w:val="single"/>
            </w:tcBorders>
            <w:shd w:val="nil"/>
            <w:vAlign w:val="top"/>
            <w:textDirection w:val="lrTb"/>
            <w:gridSpan w:val="2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2.2. Адресная поддержка культуры, искусства и народного творчества, воспитание гражданственности и патриотизма, пропаганда         здорового образа жизни</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Смотр-конкурс учреждений культуры Троснянского района</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  </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2012</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2014</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Внебюджетные источники</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10 ,0      </w:t>
            </w:r>
          </w:p>
        </w:tc>
        <w:tc>
          <w:tcPr>
            <w:tcW w:type="dxa" w:w="704"/>
            <w:tcBorders>
              <w:left w:sz="4" w:val="single"/>
              <w:top w:val="nil"/>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val="nil"/>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Расширение возможности в социокультурном обслуживании</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Фестиваль молодежного современного искусства «Молодежь за жизнь без наркотиков»</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 отдел по работе с молодежью, отдел образования</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2013</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p>
            <w:pPr>
              <w:jc w:val="both"/>
              <w:textAlignment w:val="auto"/>
              <w:ind w:left="0" w:right="0" w:start="0" w:end="0"/>
              <w:adjustRightInd w:val="true"/>
              <w:spacing w:after="0" w:line="240"/>
              <w:bidi w:val="false"/>
              <w:rPr>
                <w:rFonts w:ascii="Arial" w:eastAsia="Arial" w:hAnsi="Arial" w:cs="Arial"/>
                <w:sz w:val="24"/>
              </w:rPr>
            </w:pP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Пропаганда здорового образа жизни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Проведение молодежной акции «Мы за здоровый образ жизни»</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 отдел молодежи, отдел образования</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Районный бюджет</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Внебюджетные источники</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 -</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фестиваль молодых семей «Мы – молодая семья»</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 отдел молодежи, ПМПС-Центр, ЦРБ</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2013</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w:t>
            </w:r>
          </w:p>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Поддержка молодых семей</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3076"/>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15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932"/>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264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val="nil"/>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wAfter w:type="dxa" w:w="2770"/>
        <w:gridAfter w:val="6"/>
        <w:tc>
          <w:tcPr>
            <w:tcW w:type="dxa" w:w="12547"/>
            <w:tcBorders>
              <w:left w:sz="4" w:val="single"/>
              <w:top w:sz="4" w:val="single"/>
              <w:right w:val="nil"/>
              <w:bottom w:sz="4" w:val="single"/>
            </w:tcBorders>
            <w:shd w:val="nil"/>
            <w:vAlign w:val="top"/>
            <w:textDirection w:val="lrTb"/>
            <w:gridSpan w:val="20"/>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 Создание благоприятных условий для обеспечения творчества и развития культурно-информационного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пространства.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3.1. Сохранение материального и нематериального культурного наследия.                                                                                                                                                                                                 </w:t>
            </w:r>
          </w:p>
        </w:tc>
        <w:tc>
          <w:tcPr>
            <w:tcW w:type="dxa" w:w="2342"/>
            <w:tcBorders>
              <w:left w:val="nil"/>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trHeight w:val="530" w:hRule="atLeast"/>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смотр конкурс профессионального мастерства «Лучший культработник»</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2012</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2014</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          </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w:t>
            </w:r>
          </w:p>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47"/>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p>
            <w:pPr>
              <w:jc w:val="both"/>
              <w:textAlignment w:val="auto"/>
              <w:ind w:left="0" w:right="0" w:start="0" w:end="0"/>
              <w:adjustRightInd w:val="true"/>
              <w:spacing w:after="0" w:line="240"/>
              <w:bidi w:val="false"/>
              <w:rPr>
                <w:rFonts w:ascii="Arial" w:eastAsia="Arial" w:hAnsi="Arial" w:cs="Arial"/>
                <w:sz w:val="24"/>
              </w:rPr>
            </w:pPr>
          </w:p>
        </w:tc>
        <w:tc>
          <w:tcPr>
            <w:tcW w:type="dxa" w:w="657"/>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Повышение уровня профессионального и исполнительного мастерства работников культуры и коллективов самодеятельного творчества</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Закупка народных костюмов, предметов быта, лучших изделий народных мастеров</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 сельские поселения</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Укрепление материально-технической базы</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Экспедиционная работа по сбору песенного обрядового фольклорного материала</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Районный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25,0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Сохранение культурного наследия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w:t>
            </w:r>
          </w:p>
        </w:tc>
        <w:tc>
          <w:tcPr>
            <w:tcW w:type="dxa" w:w="3076"/>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фестиваль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самодеятельного народного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творчества;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Проведение районных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массовых мероприятий: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Новогодняя ночь</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Рождественские встречи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Крещенские посиделки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Масленица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День Победы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Троицкие хороводы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День освобождения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Орловщины</w:t>
            </w:r>
          </w:p>
          <w:p>
            <w:pPr>
              <w:jc w:val="both"/>
              <w:textAlignment w:val="auto"/>
              <w:ind w:left="0" w:right="0" w:start="0" w:end="0"/>
              <w:adjustRightInd w:val="true"/>
              <w:spacing w:after="0" w:line="240"/>
              <w:bidi w:val="false"/>
              <w:rPr>
                <w:rFonts w:ascii="Arial" w:eastAsia="Arial" w:hAnsi="Arial" w:cs="Arial"/>
                <w:sz w:val="24"/>
              </w:rPr>
            </w:pPr>
          </w:p>
        </w:tc>
        <w:tc>
          <w:tcPr>
            <w:tcW w:type="dxa" w:w="1520"/>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 сельские поселения</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2011-2015</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Более полное удовлетворение культурных потребностей населения</w:t>
            </w:r>
          </w:p>
        </w:tc>
      </w:tr>
      <w:tr>
        <w:wAfter w:type="dxa" w:w="2770"/>
        <w:gridAfter w:val="6"/>
        <w:tc>
          <w:tcPr>
            <w:tcW w:type="dxa" w:w="14889"/>
            <w:tcBorders>
              <w:left w:sz="4" w:val="single"/>
              <w:top w:sz="4" w:val="single"/>
              <w:right w:sz="4" w:val="single"/>
              <w:bottom w:val="nil"/>
            </w:tcBorders>
            <w:shd w:val="nil"/>
            <w:vAlign w:val="top"/>
            <w:textDirection w:val="lrTb"/>
            <w:gridSpan w:val="2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3.2. Обновление специального оборудования организаций культуры.                                                                                                                                                                                                </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Приобретение  свето и звукотехнического оборудования для учреждений культуры района: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c>
          <w:tcPr>
            <w:tcW w:type="dxa" w:w="1467"/>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76"/>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Федеральный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Областной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Внебюджетные источники</w:t>
            </w:r>
          </w:p>
          <w:p>
            <w:pPr>
              <w:jc w:val="both"/>
              <w:textAlignment w:val="auto"/>
              <w:ind w:left="0" w:right="0" w:start="0" w:end="0"/>
              <w:adjustRightInd w:val="true"/>
              <w:spacing w:after="0" w:line="240"/>
              <w:bidi w:val="false"/>
              <w:rPr>
                <w:rFonts w:ascii="Arial" w:eastAsia="Arial" w:hAnsi="Arial" w:cs="Arial"/>
                <w:sz w:val="24"/>
              </w:rPr>
            </w:pP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370,0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45,0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130,0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140,0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37"/>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2350"/>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Укрепление материально-технической базы учреждений культуры. Обновление оборудования.</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Приобретение и монтаж библиотечного оборудования.</w:t>
            </w:r>
          </w:p>
        </w:tc>
        <w:tc>
          <w:tcPr>
            <w:tcW w:type="dxa" w:w="1467"/>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76"/>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val="nil"/>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  -</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1467"/>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976"/>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tcW w:type="dxa" w:w="507"/>
            <w:tcBorders>
              <w:left w:sz="4" w:val="single"/>
              <w:top w:sz="4" w:val="single"/>
              <w:right w:val="nil"/>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348"/>
            <w:tcBorders>
              <w:left w:val="nil"/>
              <w:top w:val="nil"/>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trHeight w:val="1620" w:hRule="atLeast"/>
        <w:wAfter w:type="dxa" w:w="2770"/>
        <w:gridAfter w:val="6"/>
        <w:tc>
          <w:tcPr>
            <w:vMerge w:val="restart"/>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Приобретение и монтаж охранно-пожарной сигнализации в учреждениях культуры района: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vMerge w:val="restart"/>
            <w:tcW w:type="dxa" w:w="1467"/>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культуры</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 детская школа искусств</w:t>
            </w:r>
          </w:p>
        </w:tc>
        <w:tc>
          <w:tcPr>
            <w:vMerge w:val="restart"/>
            <w:tcW w:type="dxa" w:w="976"/>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2011-2012</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w:t>
            </w:r>
          </w:p>
        </w:tc>
        <w:tc>
          <w:tcPr>
            <w:vMerge w:val="restart"/>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Федеральный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Областной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Внебюджетные источники</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Федеральный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Областной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Внебюджетные источники</w:t>
            </w:r>
          </w:p>
          <w:p>
            <w:pPr>
              <w:jc w:val="both"/>
              <w:textAlignment w:val="auto"/>
              <w:ind w:left="0" w:right="0" w:start="0" w:end="0"/>
              <w:adjustRightInd w:val="true"/>
              <w:spacing w:after="0" w:line="240"/>
              <w:bidi w:val="false"/>
              <w:rPr>
                <w:rFonts w:ascii="Arial" w:eastAsia="Arial" w:hAnsi="Arial" w:cs="Arial"/>
                <w:sz w:val="24"/>
              </w:rPr>
            </w:pPr>
          </w:p>
        </w:tc>
        <w:tc>
          <w:tcPr>
            <w:vMerge w:val="restart"/>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110,0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32,0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p>
            <w:pPr>
              <w:jc w:val="both"/>
              <w:textAlignment w:val="auto"/>
              <w:ind w:left="0" w:right="0" w:start="0" w:end="0"/>
              <w:adjustRightInd w:val="true"/>
              <w:spacing w:after="0" w:line="240"/>
              <w:bidi w:val="false"/>
              <w:rPr>
                <w:rFonts w:ascii="Arial" w:eastAsia="Arial" w:hAnsi="Arial" w:cs="Arial"/>
                <w:sz w:val="24"/>
              </w:rPr>
            </w:pPr>
          </w:p>
        </w:tc>
        <w:tc>
          <w:tcPr>
            <w:vMerge w:val="restart"/>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32,0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vMerge w:val="restart"/>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vMerge w:val="restart"/>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vMerge w:val="restart"/>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vMerge w:val="restart"/>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vMerge w:val="restart"/>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Укрепление пожарной безопасности учреждений культуры</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Обновление оборудования</w:t>
            </w:r>
          </w:p>
        </w:tc>
      </w:tr>
      <w:tr>
        <w:wAfter w:type="dxa" w:w="2770"/>
        <w:gridAfter w:val="6"/>
        <w:tc>
          <w:tcPr>
            <w:vMerge w:val="continue"/>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1467"/>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976"/>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trHeight w:val="4762" w:hRule="atLeast"/>
        <w:wAfter w:type="dxa" w:w="2770"/>
        <w:gridAfter w:val="6"/>
        <w:tc>
          <w:tcPr>
            <w:vMerge w:val="continue"/>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Приобретение муфельной печи для детской школы искусств</w:t>
            </w:r>
          </w:p>
        </w:tc>
        <w:tc>
          <w:tcPr>
            <w:vMerge w:val="continue"/>
            <w:tcW w:type="dxa" w:w="1467"/>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976"/>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vMerge w:val="continue"/>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trHeight w:val="195" w:hRule="atLeast"/>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Ремонт фасада здания РДК.</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p>
            <w:pPr>
              <w:jc w:val="both"/>
              <w:textAlignment w:val="auto"/>
              <w:ind w:left="0" w:right="0" w:start="0" w:end="0"/>
              <w:adjustRightInd w:val="true"/>
              <w:spacing w:after="0" w:line="240"/>
              <w:bidi w:val="false"/>
              <w:rPr>
                <w:rFonts w:ascii="Arial" w:eastAsia="Arial" w:hAnsi="Arial" w:cs="Arial"/>
                <w:sz w:val="24"/>
              </w:rPr>
            </w:pP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Укрепление материально- технической базы. Создание лучших условий труда сотрудникам</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Ремонт крыши и фасада здания отдела культуры.</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2013</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60,0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60,0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 -</w:t>
            </w:r>
          </w:p>
        </w:tc>
      </w:tr>
      <w:tr>
        <w:wAfter w:type="dxa" w:w="2770"/>
        <w:gridAfter w:val="6"/>
        <w:tc>
          <w:tcPr>
            <w:tcW w:type="dxa" w:w="14889"/>
            <w:tcBorders>
              <w:left w:sz="4" w:val="single"/>
              <w:top w:sz="4" w:val="single"/>
              <w:right w:sz="4" w:val="single"/>
              <w:bottom w:sz="4" w:val="single"/>
            </w:tcBorders>
            <w:shd w:val="nil"/>
            <w:vAlign w:val="top"/>
            <w:textDirection w:val="lrTb"/>
            <w:gridSpan w:val="21"/>
          </w:tcPr>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 Обеспечение единого культурного-информационного пространства и повышение доступности культурных благ</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для населения района.</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4.1. Обеспечение культурного обмена и расширение использования виртуальных продуктов культуры.</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Комплектование книжного фонда библиотек района</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p>
            <w:pPr>
              <w:jc w:val="both"/>
              <w:textAlignment w:val="auto"/>
              <w:ind w:left="0" w:right="0" w:start="0" w:end="0"/>
              <w:adjustRightInd w:val="true"/>
              <w:spacing w:after="0" w:line="240"/>
              <w:bidi w:val="false"/>
              <w:rPr>
                <w:rFonts w:ascii="Arial" w:eastAsia="Arial" w:hAnsi="Arial" w:cs="Arial"/>
                <w:sz w:val="24"/>
              </w:rPr>
            </w:pP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Федеральный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Областной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Внебюджетные источники</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540,0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26.0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110,0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120,0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130,0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Удовлетворение информационных запросов различных категорий пользователей</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Подписка на печатные издания.</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250,0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  -</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Организация семинаров тренингов, научно-практических конференций для работников учреждений культуры района.</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25,0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 -</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Организация обучения кадров на областных курсах повышения квалификации</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25,0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 -</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Обеспечение участия творческих коллективов района в областных и Всероссийских смотрах-конкурсах и фестивалях.</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50,0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 -</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Разработка и принятие нормативных и регламентирующих документов, необходимых для оптимизации сети сельских учреждений культуры.</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 // -</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Установка пандусов для людей с ограниченными возможностями во всех учреждениях культуры:</w:t>
            </w:r>
          </w:p>
          <w:p>
            <w:pPr>
              <w:jc w:val="both"/>
              <w:textAlignment w:val="auto"/>
              <w:ind w:left="0" w:right="0" w:start="0" w:end="0"/>
              <w:adjustRightInd w:val="true"/>
              <w:spacing w:after="0" w:line="240"/>
              <w:bidi w:val="false"/>
              <w:rPr>
                <w:rFonts w:ascii="Arial" w:eastAsia="Arial" w:hAnsi="Arial" w:cs="Arial"/>
                <w:sz w:val="24"/>
              </w:rPr>
            </w:pP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2011-2013</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18,0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18,0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Обеспечение условий для людей с ограниченными способностями</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r>
      <w:tr>
        <w:wAfter w:type="dxa" w:w="2770"/>
        <w:gridAfter w:val="6"/>
        <w:tc>
          <w:tcPr>
            <w:tcW w:type="dxa" w:w="14889"/>
            <w:tcBorders>
              <w:left w:sz="4" w:val="single"/>
              <w:top w:sz="4" w:val="single"/>
              <w:right w:sz="4" w:val="single"/>
              <w:bottom w:val="nil"/>
            </w:tcBorders>
            <w:shd w:val="nil"/>
            <w:vAlign w:val="top"/>
            <w:textDirection w:val="lrTb"/>
            <w:gridSpan w:val="2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4.2. Разработка и внедрение информационных  продуктов и технологий в сфере культуры.</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Обеспечение доступа к Интернет-ресурсам.</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Федеральный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Областной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Муниципальный   бюджет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Внебюджетные источники</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210,0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15,0</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Обеспечение условий для инновационной деятельности</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Создание централизованных баз данных памятников истории и культуры Троснянского района</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2011</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Создание единой электронной базы данных библиотечных фондов</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2012</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tc>
      </w:tr>
      <w:tr>
        <w:wAfter w:type="dxa" w:w="2770"/>
        <w:gridAfter w:val="6"/>
        <w:tc>
          <w:tcPr>
            <w:tcW w:type="dxa" w:w="14889"/>
            <w:tcBorders>
              <w:left w:sz="4" w:val="single"/>
              <w:top w:sz="4" w:val="single"/>
              <w:right w:sz="4" w:val="single"/>
              <w:bottom w:sz="4" w:val="single"/>
            </w:tcBorders>
            <w:shd w:val="nil"/>
            <w:vAlign w:val="top"/>
            <w:textDirection w:val="lrTb"/>
            <w:gridSpan w:val="2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5. Интеграция в культурно-информационный процесс.</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-Создание видеофильма «Культурная жизнь края»;</w:t>
            </w:r>
          </w:p>
          <w:p>
            <w:pPr>
              <w:jc w:val="both"/>
              <w:textAlignment w:val="auto"/>
              <w:ind w:left="0" w:right="0" w:start="0" w:end="0"/>
              <w:adjustRightInd w:val="true"/>
              <w:spacing w:after="0" w:line="240"/>
              <w:bidi w:val="false"/>
              <w:rPr>
                <w:rFonts w:ascii="Arial" w:eastAsia="Arial" w:hAnsi="Arial" w:cs="Arial"/>
                <w:sz w:val="24"/>
              </w:rPr>
            </w:pP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2015</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p>
            <w:pPr>
              <w:jc w:val="both"/>
              <w:textAlignment w:val="auto"/>
              <w:ind w:left="0" w:right="0" w:start="0" w:end="0"/>
              <w:adjustRightInd w:val="true"/>
              <w:spacing w:after="0" w:line="240"/>
              <w:bidi w:val="false"/>
              <w:rPr>
                <w:rFonts w:ascii="Arial" w:eastAsia="Arial" w:hAnsi="Arial" w:cs="Arial"/>
                <w:sz w:val="24"/>
              </w:rPr>
            </w:pP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45"/>
            <w:tcBorders>
              <w:left w:sz="4" w:val="single"/>
              <w:top w:sz="4" w:val="single"/>
              <w:right w:val="nil"/>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Сохранение нематериального культурного наследия, удовлетворение культурных потребностей населения.</w:t>
            </w:r>
          </w:p>
        </w:tc>
      </w:tr>
      <w:tr>
        <w:wAfter w:type="dxa" w:w="2770"/>
        <w:gridAfter w:val="6"/>
        <w:tc>
          <w:tcPr>
            <w:tcW w:type="dxa" w:w="684"/>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tcW w:type="dxa" w:w="3069"/>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Издание компакт-диска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 творчеству народного коллектива «Русская песня»</w:t>
            </w:r>
          </w:p>
        </w:tc>
        <w:tc>
          <w:tcPr>
            <w:tcW w:type="dxa" w:w="1527"/>
            <w:tcBorders>
              <w:left w:sz="4" w:val="single"/>
              <w:top w:sz="4" w:val="single"/>
              <w:right w:sz="4" w:val="single"/>
              <w:bottom w:sz="4" w:val="single"/>
            </w:tcBorders>
            <w:shd w:val="nil"/>
            <w:vAlign w:val="top"/>
            <w:textDirection w:val="lrTb"/>
            <w:gridSpan w:val="4"/>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культуры</w:t>
            </w:r>
          </w:p>
        </w:tc>
        <w:tc>
          <w:tcPr>
            <w:tcW w:type="dxa" w:w="916"/>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2012</w:t>
            </w:r>
          </w:p>
        </w:tc>
        <w:tc>
          <w:tcPr>
            <w:tcW w:type="dxa" w:w="1925"/>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бюджет</w:t>
            </w:r>
          </w:p>
        </w:tc>
        <w:tc>
          <w:tcPr>
            <w:tcW w:type="dxa" w:w="718"/>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30,0</w:t>
            </w:r>
          </w:p>
        </w:tc>
        <w:tc>
          <w:tcPr>
            <w:tcW w:type="dxa" w:w="704"/>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03"/>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30,0</w:t>
            </w:r>
          </w:p>
          <w:p>
            <w:pPr>
              <w:jc w:val="both"/>
              <w:textAlignment w:val="auto"/>
              <w:ind w:left="0" w:right="0" w:start="0" w:end="0"/>
              <w:adjustRightInd w:val="true"/>
              <w:spacing w:after="0" w:line="240"/>
              <w:bidi w:val="false"/>
              <w:rPr>
                <w:rFonts w:ascii="Arial" w:eastAsia="Arial" w:hAnsi="Arial" w:cs="Arial"/>
                <w:sz w:val="24"/>
              </w:rPr>
            </w:pPr>
          </w:p>
        </w:tc>
        <w:tc>
          <w:tcPr>
            <w:tcW w:type="dxa" w:w="701"/>
            <w:tcBorders>
              <w:left w:sz="4" w:val="single"/>
              <w:top w:sz="4" w:val="single"/>
              <w:right w:sz="4" w:val="single"/>
              <w:bottom w:sz="4" w:val="single"/>
            </w:tcBorders>
            <w:shd w:val="nil"/>
            <w:vAlign w:val="top"/>
            <w:textDirection w:val="lrTb"/>
            <w:gridSpan w:val="3"/>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85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745"/>
            <w:tcBorders>
              <w:left w:sz="4" w:val="single"/>
              <w:top w:sz="4" w:val="single"/>
              <w:right w:sz="4" w:val="single"/>
              <w:bottom w:sz="4" w:val="single"/>
            </w:tcBorders>
            <w:shd w:val="nil"/>
            <w:vAlign w:val="top"/>
            <w:textDirection w:val="lrTb"/>
            <w:gridSpan w:val="2"/>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0,0</w:t>
            </w:r>
          </w:p>
        </w:tc>
        <w:tc>
          <w:tcPr>
            <w:tcW w:type="dxa" w:w="2342"/>
            <w:tcBorders>
              <w:left w:sz="4" w:val="single"/>
              <w:top w:sz="4" w:val="single"/>
              <w:right w:sz="4" w:val="single"/>
              <w:bottom w:sz="4" w:val="single"/>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tc>
      </w:tr>
      <w:tr>
        <w:wBefore w:type="dxa" w:w="684"/>
        <w:wAfter w:type="dxa" w:w="2770"/>
        <w:gridBefore w:val="1"/>
        <w:gridAfter w:val="6"/>
        <w:tc>
          <w:tcPr>
            <w:tcW w:type="dxa" w:w="14205"/>
            <w:tcBorders>
              <w:left w:val="nil"/>
              <w:top w:val="nil"/>
              <w:right w:val="nil"/>
              <w:bottom w:val="nil"/>
            </w:tcBorders>
            <w:shd w:val="nil"/>
            <w:vAlign w:val="top"/>
            <w:textDirection w:val="lrTb"/>
            <w:gridSpan w:val="20"/>
          </w:tcPr>
          <w:p>
            <w:pPr>
              <w:jc w:val="both"/>
              <w:textAlignment w:val="auto"/>
              <w:ind w:left="0" w:right="0" w:start="0" w:end="0"/>
              <w:adjustRightInd w:val="true"/>
              <w:spacing w:after="0" w:line="240"/>
              <w:bidi w:val="false"/>
              <w:rPr>
                <w:rFonts w:ascii="Arial" w:eastAsia="Arial" w:hAnsi="Arial" w:cs="Arial"/>
                <w:sz w:val="24"/>
              </w:rPr>
            </w:pPr>
          </w:p>
        </w:tc>
      </w:tr>
      <w:tr>
        <w:trHeight w:val="550" w:hRule="atLeast"/>
        <w:wBefore w:type="dxa" w:w="684"/>
        <w:wAfter w:type="dxa" w:w="2770"/>
        <w:gridBefore w:val="1"/>
        <w:gridAfter w:val="6"/>
        <w:tc>
          <w:tcPr>
            <w:tcW w:type="dxa" w:w="14205"/>
            <w:tcBorders>
              <w:left w:val="nil"/>
              <w:top w:val="nil"/>
              <w:right w:val="nil"/>
              <w:bottom w:val="nil"/>
            </w:tcBorders>
            <w:shd w:val="nil"/>
            <w:vAlign w:val="top"/>
            <w:textDirection w:val="lrTb"/>
            <w:gridSpan w:val="20"/>
          </w:tcPr>
          <w:p>
            <w:pPr>
              <w:jc w:val="both"/>
              <w:textAlignment w:val="auto"/>
              <w:ind w:left="0" w:right="0" w:start="0" w:end="0"/>
              <w:adjustRightInd w:val="true"/>
              <w:spacing w:after="0" w:line="240"/>
              <w:bidi w:val="false"/>
              <w:rPr>
                <w:rFonts w:ascii="Arial" w:eastAsia="Arial" w:hAnsi="Arial" w:cs="Arial"/>
                <w:sz w:val="24"/>
              </w:rPr>
            </w:pPr>
          </w:p>
        </w:tc>
      </w:tr>
    </w:tbl>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Times New Roman" w:eastAsia="Times New Roman" w:hAnsi="Times New Roman" w:cs="Times New Roman"/>
          <w:sz w:val="24"/>
        </w:rPr>
      </w:pPr>
    </w:p>
    <w:sectPr>
      <w:type w:val="nextColumn"/>
      <w:cols w:num="1" w:space="720" w:equalWidth="true"/>
      <w:footnotePr>
        <w:pos w:val="pageBottom"/>
      </w:footnotePr>
      <w:lnNumType w:distance="0"/>
      <w:pgSz w:w="16834" w:h="11909" w:orient="landscape"/>
      <w:pgMar w:left="1701" w:right="851"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ambria Math">
    <w:panose1 w:val="02040503050406030204"/>
    <w:family w:val="roman"/>
    <w:charset w:val="01"/>
    <w:pitch w:val="variable"/>
  </w:font>
  <w:font w:name="Tahoma">
    <w:panose1 w:val="020b0604030504040204"/>
    <w:family w:val="swiss"/>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966937276">
    <w:multiLevelType w:val="multilevel"/>
    <w:tmpl w:val="8e224e68"/>
    <w:lvl w:ilvl="0">
      <w:lvlJc w:val="left"/>
      <w:lvlText w:val="%1."/>
      <w:numFmt w:val="decimal"/>
      <w:start w:val="3"/>
      <w:suff w:val="tab"/>
      <w:pPr>
        <w:ind w:hanging="570" w:left="570" w:start="570"/>
      </w:pPr>
      <w:rPr>
        <w:rFonts w:ascii="Times New Roman" w:eastAsia="Times New Roman" w:hAnsi="Times New Roman" w:cs="Times New Roman"/>
        <w:sz w:val="24"/>
      </w:rPr>
    </w:lvl>
    <w:lvl w:ilvl="1">
      <w:lvlJc w:val="left"/>
      <w:lvlText w:val="%1.%2."/>
      <w:numFmt w:val="decimal"/>
      <w:start w:val="5"/>
      <w:suff w:val="tab"/>
      <w:pPr>
        <w:ind w:hanging="720" w:left="1770" w:start="1770"/>
      </w:pPr>
      <w:rPr>
        <w:rFonts w:ascii="Times New Roman" w:eastAsia="Times New Roman" w:hAnsi="Times New Roman" w:cs="Times New Roman"/>
        <w:sz w:val="24"/>
      </w:rPr>
    </w:lvl>
    <w:lvl w:ilvl="2">
      <w:lvlJc w:val="left"/>
      <w:lvlText w:val="%1.%2.%3."/>
      <w:numFmt w:val="decimal"/>
      <w:start w:val="1"/>
      <w:suff w:val="tab"/>
      <w:pPr>
        <w:ind w:hanging="720" w:left="2820" w:start="2820"/>
      </w:pPr>
      <w:rPr>
        <w:rFonts w:ascii="Times New Roman" w:eastAsia="Times New Roman" w:hAnsi="Times New Roman" w:cs="Times New Roman"/>
        <w:sz w:val="24"/>
      </w:rPr>
    </w:lvl>
    <w:lvl w:ilvl="3">
      <w:lvlJc w:val="left"/>
      <w:lvlText w:val="%1.%2.%3.%4."/>
      <w:numFmt w:val="decimal"/>
      <w:start w:val="1"/>
      <w:suff w:val="tab"/>
      <w:pPr>
        <w:ind w:hanging="1080" w:left="4230" w:start="4230"/>
      </w:pPr>
      <w:rPr>
        <w:rFonts w:ascii="Times New Roman" w:eastAsia="Times New Roman" w:hAnsi="Times New Roman" w:cs="Times New Roman"/>
        <w:sz w:val="24"/>
      </w:rPr>
    </w:lvl>
    <w:lvl w:ilvl="4">
      <w:lvlJc w:val="left"/>
      <w:lvlText w:val="%1.%2.%3.%4.%5."/>
      <w:numFmt w:val="decimal"/>
      <w:start w:val="1"/>
      <w:suff w:val="tab"/>
      <w:pPr>
        <w:ind w:hanging="1080" w:left="5280" w:start="5280"/>
      </w:pPr>
      <w:rPr>
        <w:rFonts w:ascii="Times New Roman" w:eastAsia="Times New Roman" w:hAnsi="Times New Roman" w:cs="Times New Roman"/>
        <w:sz w:val="24"/>
      </w:rPr>
    </w:lvl>
    <w:lvl w:ilvl="5">
      <w:lvlJc w:val="left"/>
      <w:lvlText w:val="%1.%2.%3.%4.%5.%6."/>
      <w:numFmt w:val="decimal"/>
      <w:start w:val="1"/>
      <w:suff w:val="tab"/>
      <w:pPr>
        <w:ind w:hanging="1440" w:left="6690" w:start="6690"/>
      </w:pPr>
      <w:rPr>
        <w:rFonts w:ascii="Times New Roman" w:eastAsia="Times New Roman" w:hAnsi="Times New Roman" w:cs="Times New Roman"/>
        <w:sz w:val="24"/>
      </w:rPr>
    </w:lvl>
    <w:lvl w:ilvl="6">
      <w:lvlJc w:val="left"/>
      <w:lvlText w:val="%1.%2.%3.%4.%5.%6.%7."/>
      <w:numFmt w:val="decimal"/>
      <w:start w:val="1"/>
      <w:suff w:val="tab"/>
      <w:pPr>
        <w:ind w:hanging="1800" w:left="8100" w:start="8100"/>
      </w:pPr>
      <w:rPr>
        <w:rFonts w:ascii="Times New Roman" w:eastAsia="Times New Roman" w:hAnsi="Times New Roman" w:cs="Times New Roman"/>
        <w:sz w:val="24"/>
      </w:rPr>
    </w:lvl>
    <w:lvl w:ilvl="7">
      <w:lvlJc w:val="left"/>
      <w:lvlText w:val="%1.%2.%3.%4.%5.%6.%7.%8."/>
      <w:numFmt w:val="decimal"/>
      <w:start w:val="1"/>
      <w:suff w:val="tab"/>
      <w:pPr>
        <w:ind w:hanging="1800" w:left="9150" w:start="9150"/>
      </w:pPr>
      <w:rPr>
        <w:rFonts w:ascii="Times New Roman" w:eastAsia="Times New Roman" w:hAnsi="Times New Roman" w:cs="Times New Roman"/>
        <w:sz w:val="24"/>
      </w:rPr>
    </w:lvl>
    <w:lvl w:ilvl="8">
      <w:lvlJc w:val="left"/>
      <w:lvlText w:val="%1.%2.%3.%4.%5.%6.%7.%8.%9."/>
      <w:numFmt w:val="decimal"/>
      <w:start w:val="1"/>
      <w:suff w:val="tab"/>
      <w:pPr>
        <w:ind w:hanging="2160" w:left="10560" w:start="10560"/>
      </w:pPr>
      <w:rPr>
        <w:rFonts w:ascii="Times New Roman" w:eastAsia="Times New Roman" w:hAnsi="Times New Roman" w:cs="Times New Roman"/>
        <w:sz w:val="24"/>
      </w:rPr>
    </w:lvl>
  </w:abstractNum>
  <w:num w:numId="1">
    <w:abstractNumId w:val="966937276"/>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TotalTime>
  <Pages>31</Pages>
  <Words>9524</Words>
  <Characters>54292</Characters>
  <CharactersWithSpaces>63689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coreProperties>
</file>