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8" Type="http://schemas.openxmlformats.org/officeDocument/2006/relationships/extended-properties" Target="docProps/app.xml"/><Relationship Id="rId9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РОССИЙСКАЯ ФЕДЕРАЦИЯ</w:t>
      </w:r>
    </w:p>
    <w:p>
      <w:pPr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ОРЛОВСКАЯ ОБЛАСТЬ</w:t>
      </w:r>
    </w:p>
    <w:p>
      <w:pPr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ТРОСНЯНСКИЙ РАЙОННЫЙ СОВЕТ НАРОДНЫХ ДЕПУТАТОВ</w:t>
      </w:r>
    </w:p>
    <w:p>
      <w:pPr>
        <w:jc w:val="center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ПОСТАНОВЛЕНИЕ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28 декабря 2009 года                                                           №252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Об установлении  тарифов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жилищно-коммунальные услуги 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для населения на 2010 год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В соответствии с Федеральным законом от 6 октября 2003 года №131 – ФЗ «Об общих принципах организации местного самоуправления в Российской Федерации», Жилищным кодексом РФ от 29.12.2004г. №188-ФЗ, Постановлением  Правительства РФ от 13.08.2006г.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Уставом Троснянского района, Положением о порядке рассмотрения цен и тарифов, утвержденным постановлением Троснянского  районного Совета народных депутатов 01.12.2005г. №158, Троснянский районный совет народных депутатов ПОСТАНОВИЛ: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contextualSpacing w:val="true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1.В соответствии с Приказом  Управления по тарифам Орловской области №689-т/1 от 12 октября 2009 года «Об установлении предельных индексов максимально возможного изменения размера платы граждан за жилое помещение на 2010 год» проиндексировать на 109,5% размер платы граждан за содержание и текущий ремонт жилого помещения и утвердить согласно приложению для нанимателей жилых помещений, находящихся в муниципальной собственности и предоставленных в пользование по договорам социального найма жилого помещения, а также для собственников жилых помещений, которые не приняли решение о выборе способа управления многоквартирным домом или если принятое решение о выборе способа управления эти домом не было реализовано; для собственников жилых помещений, если на общем собрании собственников помещений многоквартирного дома в установленном порядке не принято решение об установлении размера платы за содержание и ремонт жилых помещений. 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contextualSpacing w:val="true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2.Тариф на содержание и текущий ремонт жилья вступает в законную силу с 01 февраля 2010 года.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contextualSpacing w:val="true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3.Считать утратившим силу п.2 Постановление Троснянского районного Совета народных депутатов от 27 ноября 2008 года №165 (Об установлении норм и тарифов на жилищно-коммунальные услуги).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contextualSpacing w:val="true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4.Контроль за исполнением настоящего Постановления возложить на комитет по социальным вопросам.</w:t>
      </w:r>
    </w:p>
    <w:p>
      <w:pPr>
        <w:jc w:val="both"/>
        <w:textAlignment w:val="auto"/>
        <w:ind w:firstLine="720" w:left="0" w:right="0" w:start="0" w:end="0"/>
        <w:adjustRightInd w:val="true"/>
        <w:spacing w:after="0" w:line="240"/>
        <w:contextualSpacing w:val="true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5.Настоящее Постановление вступает в силу со дня его официального опубликования</w:t>
      </w:r>
    </w:p>
    <w:p>
      <w:pPr>
        <w:jc w:val="both"/>
        <w:textAlignment w:val="auto"/>
        <w:ind w:firstLine="709" w:left="1068" w:right="0" w:start="1068" w:end="0"/>
        <w:adjustRightInd w:val="true"/>
        <w:spacing w:after="0" w:line="240"/>
        <w:contextualSpacing w:val="true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Председатель районного Совета              Глава Троснянского  района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народных депутатов                                                 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  <w:r>
        <w:rPr>
          <w:b w:val="true"/>
          <w:rFonts w:ascii="Arial" w:eastAsia="Arial" w:hAnsi="Arial" w:cs="Arial"/>
          <w:sz w:val="24"/>
        </w:rPr>
        <w:t xml:space="preserve">В.Г. Харлашкин                                                     В.И.Быков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right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Приложение к постановлению</w:t>
      </w:r>
    </w:p>
    <w:p>
      <w:pPr>
        <w:jc w:val="right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28 декабря 2009 года № 252</w:t>
      </w: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Содержание и текущий ремонт жилья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tbl>
      <w:tblPr>
        <w:tblLayout w:type="autofit"/>
        <w:tblInd w:w="0" w:type="dxa"/>
        <w:tblW w:w="0" w:type="auto"/>
        <w:tblCellMar>
          <w:bottom w:w="0" w:type="dxa"/>
          <w:left w:w="108" w:type="dxa"/>
          <w:right w:w="108" w:type="dxa"/>
          <w:top w:w="0" w:type="dxa"/>
        </w:tblCellMar>
        <w:tblBorders>
          <w:left w:color="000000" w:sz="4" w:space="0" w:val="single"/>
          <w:right w:color="000000" w:sz="4" w:space="0" w:val="single"/>
          <w:top w:color="000000" w:sz="4" w:space="0" w:val="single"/>
          <w:bottom w:color="000000" w:sz="4" w:space="0" w:val="single"/>
          <w:insideV w:color="000000" w:sz="4" w:space="0" w:val="single"/>
          <w:insideH w:color="000000" w:sz="4" w:space="0" w:val="single"/>
        </w:tblBorders>
      </w:tblPr>
      <w:tblGrid>
        <w:gridCol w:w="5260"/>
        <w:gridCol w:w="4310"/>
      </w:tblGrid>
      <w:tr>
        <w:tc>
          <w:tcPr>
            <w:tcW w:type="dxa" w:w="5260"/>
            <w:tcBorders>
              <w:left w:color="000000" w:sz="4" w:val="single"/>
              <w:top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Наименование</w:t>
            </w:r>
          </w:p>
        </w:tc>
        <w:tc>
          <w:tcPr>
            <w:tcW w:type="dxa" w:w="4310"/>
            <w:tcBorders>
              <w:left w:color="000000" w:sz="4" w:val="single"/>
              <w:top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Тариф за 1 кв.м. общей площади в месяц, руб.</w:t>
            </w:r>
          </w:p>
        </w:tc>
      </w:tr>
      <w:tr>
        <w:tc>
          <w:tcPr>
            <w:tcW w:type="dxa" w:w="5260"/>
            <w:tcBorders>
              <w:left w:color="000000" w:sz="4" w:val="single"/>
              <w:top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Дома, имеющие все виды благоустройства</w:t>
            </w:r>
          </w:p>
        </w:tc>
        <w:tc>
          <w:tcPr>
            <w:tcW w:type="dxa" w:w="4310"/>
            <w:tcBorders>
              <w:left w:color="000000" w:sz="4" w:val="single"/>
              <w:top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7,88</w:t>
            </w:r>
          </w:p>
        </w:tc>
      </w:tr>
      <w:tr>
        <w:tc>
          <w:tcPr>
            <w:tcW w:type="dxa" w:w="5260"/>
            <w:tcBorders>
              <w:left w:color="000000" w:sz="4" w:val="single"/>
              <w:top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Дома, имеющие не все виды благоустройства</w:t>
            </w:r>
          </w:p>
        </w:tc>
        <w:tc>
          <w:tcPr>
            <w:tcW w:type="dxa" w:w="4310"/>
            <w:tcBorders>
              <w:left w:color="000000" w:sz="4" w:val="single"/>
              <w:top w:color="000000" w:sz="4" w:val="single"/>
              <w:right w:color="000000" w:sz="4" w:val="single"/>
              <w:bottom w:color="000000" w:sz="4" w:val="single"/>
            </w:tcBorders>
            <w:shd w:val="nil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5,91</w:t>
            </w:r>
          </w:p>
        </w:tc>
      </w:tr>
    </w:tbl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0" w:right="0" w:start="0" w:end="0"/>
        <w:adjustRightInd w:val="true"/>
        <w:spacing w:after="0" w:line="240"/>
        <w:bidi w:val="false"/>
        <w:rPr>
          <w:b w:val="true"/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1068" w:right="0" w:start="1068" w:end="0"/>
        <w:adjustRightInd w:val="true"/>
        <w:spacing w:after="0" w:line="240"/>
        <w:contextualSpacing w:val="true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1068" w:right="0" w:start="1068" w:end="0"/>
        <w:adjustRightInd w:val="true"/>
        <w:spacing w:after="0" w:line="240"/>
        <w:contextualSpacing w:val="true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1068" w:right="0" w:start="1068" w:end="0"/>
        <w:adjustRightInd w:val="true"/>
        <w:spacing w:after="0" w:line="240"/>
        <w:contextualSpacing w:val="true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1068" w:right="0" w:start="1068" w:end="0"/>
        <w:adjustRightInd w:val="true"/>
        <w:spacing w:after="0" w:line="240"/>
        <w:contextualSpacing w:val="true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1068" w:right="0" w:start="1068" w:end="0"/>
        <w:adjustRightInd w:val="true"/>
        <w:spacing w:after="0" w:line="240"/>
        <w:contextualSpacing w:val="true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1068" w:right="0" w:start="1068" w:end="0"/>
        <w:adjustRightInd w:val="true"/>
        <w:spacing w:after="0" w:line="240"/>
        <w:contextualSpacing w:val="true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1068" w:right="0" w:start="1068" w:end="0"/>
        <w:adjustRightInd w:val="true"/>
        <w:spacing w:after="0" w:line="240"/>
        <w:contextualSpacing w:val="true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1068" w:right="0" w:start="1068" w:end="0"/>
        <w:adjustRightInd w:val="true"/>
        <w:spacing w:after="0" w:line="240"/>
        <w:contextualSpacing w:val="true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1068" w:right="0" w:start="1068" w:end="0"/>
        <w:adjustRightInd w:val="true"/>
        <w:spacing w:after="0" w:line="240"/>
        <w:contextualSpacing w:val="true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1068" w:right="0" w:start="1068" w:end="0"/>
        <w:adjustRightInd w:val="true"/>
        <w:spacing w:after="0" w:line="240"/>
        <w:contextualSpacing w:val="true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1068" w:right="0" w:start="1068" w:end="0"/>
        <w:adjustRightInd w:val="true"/>
        <w:spacing w:after="0" w:line="240"/>
        <w:contextualSpacing w:val="true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1068" w:right="0" w:start="1068" w:end="0"/>
        <w:adjustRightInd w:val="true"/>
        <w:spacing w:after="0" w:line="240"/>
        <w:contextualSpacing w:val="true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1068" w:right="0" w:start="1068" w:end="0"/>
        <w:adjustRightInd w:val="true"/>
        <w:spacing w:after="0" w:line="240"/>
        <w:contextualSpacing w:val="true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1068" w:right="0" w:start="1068" w:end="0"/>
        <w:adjustRightInd w:val="true"/>
        <w:spacing w:after="0" w:line="240"/>
        <w:contextualSpacing w:val="true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1068" w:right="0" w:start="1068" w:end="0"/>
        <w:adjustRightInd w:val="true"/>
        <w:spacing w:after="0" w:line="240"/>
        <w:contextualSpacing w:val="true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1068" w:right="0" w:start="1068" w:end="0"/>
        <w:adjustRightInd w:val="true"/>
        <w:spacing w:after="0" w:line="240"/>
        <w:contextualSpacing w:val="true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1068" w:right="0" w:start="1068" w:end="0"/>
        <w:adjustRightInd w:val="true"/>
        <w:spacing w:after="0" w:line="240"/>
        <w:contextualSpacing w:val="true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1068" w:right="0" w:start="1068" w:end="0"/>
        <w:adjustRightInd w:val="true"/>
        <w:spacing w:after="0" w:line="240"/>
        <w:contextualSpacing w:val="true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1068" w:right="0" w:start="1068" w:end="0"/>
        <w:adjustRightInd w:val="true"/>
        <w:spacing w:after="0" w:line="240"/>
        <w:contextualSpacing w:val="true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1068" w:right="0" w:start="1068" w:end="0"/>
        <w:adjustRightInd w:val="true"/>
        <w:spacing w:after="0" w:line="240"/>
        <w:contextualSpacing w:val="true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1068" w:right="0" w:start="1068" w:end="0"/>
        <w:adjustRightInd w:val="true"/>
        <w:spacing w:after="0" w:line="240"/>
        <w:contextualSpacing w:val="true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1068" w:right="0" w:start="1068" w:end="0"/>
        <w:adjustRightInd w:val="true"/>
        <w:spacing w:after="0" w:line="240"/>
        <w:contextualSpacing w:val="true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1068" w:right="0" w:start="1068" w:end="0"/>
        <w:adjustRightInd w:val="true"/>
        <w:spacing w:after="0" w:line="240"/>
        <w:contextualSpacing w:val="true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1068" w:right="0" w:start="1068" w:end="0"/>
        <w:adjustRightInd w:val="true"/>
        <w:spacing w:after="0" w:line="240"/>
        <w:contextualSpacing w:val="true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1068" w:right="0" w:start="1068" w:end="0"/>
        <w:adjustRightInd w:val="true"/>
        <w:spacing w:after="0" w:line="240"/>
        <w:contextualSpacing w:val="true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1068" w:right="0" w:start="1068" w:end="0"/>
        <w:adjustRightInd w:val="true"/>
        <w:spacing w:after="0" w:line="240"/>
        <w:contextualSpacing w:val="true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1068" w:right="0" w:start="1068" w:end="0"/>
        <w:adjustRightInd w:val="true"/>
        <w:spacing w:after="0" w:line="240"/>
        <w:contextualSpacing w:val="true"/>
        <w:bidi w:val="false"/>
        <w:rPr>
          <w:rFonts w:ascii="Arial" w:eastAsia="Arial" w:hAnsi="Arial" w:cs="Arial"/>
          <w:sz w:val="24"/>
        </w:rPr>
      </w:pPr>
    </w:p>
    <w:p>
      <w:pPr>
        <w:jc w:val="both"/>
        <w:textAlignment w:val="auto"/>
        <w:ind w:firstLine="709" w:left="1068" w:right="0" w:start="1068" w:end="0"/>
        <w:adjustRightInd w:val="true"/>
        <w:spacing w:after="0" w:line="240"/>
        <w:contextualSpacing w:val="true"/>
        <w:bidi w:val="false"/>
        <w:rPr>
          <w:rFonts w:ascii="Times New Roman" w:eastAsia="Times New Roman" w:hAnsi="Times New Roman" w:cs="Times New Roman"/>
          <w:sz w:val="20"/>
        </w:rPr>
      </w:pPr>
    </w:p>
    <w:sectPr>
      <w:cols w:num="1" w:space="708" w:equalWidth="true"/>
      <w:footnotePr>
        <w:pos w:val="pageBottom"/>
      </w:footnotePr>
      <w:lnNumType w:distance="0"/>
      <w:pgSz w:w="11906" w:h="16838"/>
      <w:pgMar w:left="1701" w:right="851" w:top="1134" w:bottom="1134" w:gutter="0" w:header="709" w:footer="709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  <w:endnote w:type="continuationSeparator" w:id="1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panose1 w:val="02020603050405020304"/>
    <w:family w:val="roman"/>
    <w:charset w:val="CC"/>
    <w:pitch w:val="variable"/>
  </w:font>
  <w:font w:name="Arial">
    <w:panose1 w:val="020b0604020202020204"/>
    <w:family w:val="swiss"/>
    <w:charset w:val="CC"/>
    <w:pitch w:val="variable"/>
  </w:font>
  <w:font w:name="Cambria Math">
    <w:panose1 w:val="02040503050406030204"/>
    <w:family w:val="roman"/>
    <w:charset w:val="01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mbria">
    <w:panose1 w:val="020405030504060302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panose1 w:val="02020603050405020304"/>
    <w:family w:val="roman"/>
    <w:charset w:val="CC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Arial">
    <w:family w:val="swiss"/>
    <w:charset w:val="00"/>
    <w:pitch w:val="variable"/>
  </w:font>
  <w:font w:name="Arial CE">
    <w:family w:val="swiss"/>
    <w:charset w:val="EE"/>
    <w:pitch w:val="variable"/>
  </w:font>
  <w:font w:name="Arial Greek">
    <w:family w:val="swiss"/>
    <w:charset w:val="A1"/>
    <w:pitch w:val="variable"/>
  </w:font>
  <w:font w:name="Arial Tur">
    <w:family w:val="swiss"/>
    <w:charset w:val="A2"/>
    <w:pitch w:val="variable"/>
  </w:font>
  <w:font w:name="Arial (Hebrew)">
    <w:family w:val="swiss"/>
    <w:charset w:val="B1"/>
    <w:pitch w:val="variable"/>
  </w:font>
  <w:font w:name="Arial (Arabic)">
    <w:family w:val="swiss"/>
    <w:charset w:val="B2"/>
    <w:pitch w:val="variable"/>
  </w:font>
  <w:font w:name="Arial Baltic">
    <w:family w:val="swiss"/>
    <w:charset w:val="BA"/>
    <w:pitch w:val="variable"/>
  </w:font>
  <w:font w:name="Arial (Vietnamese)">
    <w:family w:val="swiss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family w:val="roman"/>
    <w:charset w:val="00"/>
    <w:pitch w:val="variable"/>
  </w:font>
  <w:font w:name="Times New Roman CE">
    <w:family w:val="roman"/>
    <w:charset w:val="EE"/>
    <w:pitch w:val="variable"/>
  </w:font>
  <w:font w:name="Times New Roman Greek">
    <w:family w:val="roman"/>
    <w:charset w:val="A1"/>
    <w:pitch w:val="variable"/>
  </w:font>
  <w:font w:name="Times New Roman Tur">
    <w:family w:val="roman"/>
    <w:charset w:val="A2"/>
    <w:pitch w:val="variable"/>
  </w:font>
  <w:font w:name="Times New Roman (Hebrew)">
    <w:family w:val="roman"/>
    <w:charset w:val="B1"/>
    <w:pitch w:val="variable"/>
  </w:font>
  <w:font w:name="Times New Roman (Arabic)">
    <w:family w:val="roman"/>
    <w:charset w:val="B2"/>
    <w:pitch w:val="variable"/>
  </w:font>
  <w:font w:name="Times New Roman Baltic">
    <w:family w:val="roman"/>
    <w:charset w:val="BA"/>
    <w:pitch w:val="variable"/>
  </w:font>
  <w:font w:name="Times New Roman (Vietnamese)"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footnote>
  <w:footnote w:type="continuationSeparator" w:id="1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>
  <w:abstractNum w:abstractNumId="1590121883">
    <w:multiLevelType w:val="hybridMultilevel"/>
    <w:tmpl w:val="ae0a5e66"/>
    <w:lvl w:ilvl="0">
      <w:lvlJc w:val="left"/>
      <w:lvlText w:val="%1."/>
      <w:numFmt w:val="decimal"/>
      <w:start w:val="1"/>
      <w:suff w:val="tab"/>
      <w:pPr>
        <w:ind w:hanging="360" w:left="1068" w:start="1068"/>
      </w:pPr>
      <w:rPr>
        <w:rFonts w:ascii="Times New Roman" w:eastAsia="Times New Roman" w:hAnsi="Times New Roman" w:cs="Times New Roman"/>
        <w:sz w:val="24"/>
      </w:rPr>
    </w:lvl>
    <w:lvl w:ilvl="1" w:tentative="1">
      <w:lvlJc w:val="left"/>
      <w:lvlText w:val="%2."/>
      <w:numFmt w:val="lowerLetter"/>
      <w:start w:val="1"/>
      <w:suff w:val="tab"/>
      <w:pPr>
        <w:ind w:hanging="360" w:left="1788" w:start="1788"/>
      </w:pPr>
      <w:rPr>
        <w:rFonts w:ascii="Times New Roman" w:eastAsia="Times New Roman" w:hAnsi="Times New Roman" w:cs="Times New Roman"/>
        <w:sz w:val="24"/>
      </w:rPr>
    </w:lvl>
    <w:lvl w:ilvl="2" w:tentative="1">
      <w:lvlJc w:val="right"/>
      <w:lvlText w:val="%3."/>
      <w:numFmt w:val="lowerRoman"/>
      <w:start w:val="1"/>
      <w:suff w:val="tab"/>
      <w:pPr>
        <w:ind w:hanging="180" w:left="2508" w:start="2508"/>
      </w:pPr>
      <w:rPr>
        <w:rFonts w:ascii="Times New Roman" w:eastAsia="Times New Roman" w:hAnsi="Times New Roman" w:cs="Times New Roman"/>
        <w:sz w:val="24"/>
      </w:rPr>
    </w:lvl>
    <w:lvl w:ilvl="3" w:tentative="1">
      <w:lvlJc w:val="left"/>
      <w:lvlText w:val="%4."/>
      <w:numFmt w:val="decimal"/>
      <w:start w:val="1"/>
      <w:suff w:val="tab"/>
      <w:pPr>
        <w:ind w:hanging="360" w:left="3228" w:start="3228"/>
      </w:pPr>
      <w:rPr>
        <w:rFonts w:ascii="Times New Roman" w:eastAsia="Times New Roman" w:hAnsi="Times New Roman" w:cs="Times New Roman"/>
        <w:sz w:val="24"/>
      </w:rPr>
    </w:lvl>
    <w:lvl w:ilvl="4" w:tentative="1">
      <w:lvlJc w:val="left"/>
      <w:lvlText w:val="%5."/>
      <w:numFmt w:val="lowerLetter"/>
      <w:start w:val="1"/>
      <w:suff w:val="tab"/>
      <w:pPr>
        <w:ind w:hanging="360" w:left="3948" w:start="3948"/>
      </w:pPr>
      <w:rPr>
        <w:rFonts w:ascii="Times New Roman" w:eastAsia="Times New Roman" w:hAnsi="Times New Roman" w:cs="Times New Roman"/>
        <w:sz w:val="24"/>
      </w:rPr>
    </w:lvl>
    <w:lvl w:ilvl="5" w:tentative="1">
      <w:lvlJc w:val="right"/>
      <w:lvlText w:val="%6."/>
      <w:numFmt w:val="lowerRoman"/>
      <w:start w:val="1"/>
      <w:suff w:val="tab"/>
      <w:pPr>
        <w:ind w:hanging="180" w:left="4668" w:start="4668"/>
      </w:pPr>
      <w:rPr>
        <w:rFonts w:ascii="Times New Roman" w:eastAsia="Times New Roman" w:hAnsi="Times New Roman" w:cs="Times New Roman"/>
        <w:sz w:val="24"/>
      </w:rPr>
    </w:lvl>
    <w:lvl w:ilvl="6" w:tentative="1">
      <w:lvlJc w:val="left"/>
      <w:lvlText w:val="%7."/>
      <w:numFmt w:val="decimal"/>
      <w:start w:val="1"/>
      <w:suff w:val="tab"/>
      <w:pPr>
        <w:ind w:hanging="360" w:left="5388" w:start="5388"/>
      </w:pPr>
      <w:rPr>
        <w:rFonts w:ascii="Times New Roman" w:eastAsia="Times New Roman" w:hAnsi="Times New Roman" w:cs="Times New Roman"/>
        <w:sz w:val="24"/>
      </w:rPr>
    </w:lvl>
    <w:lvl w:ilvl="7" w:tentative="1">
      <w:lvlJc w:val="left"/>
      <w:lvlText w:val="%8."/>
      <w:numFmt w:val="lowerLetter"/>
      <w:start w:val="1"/>
      <w:suff w:val="tab"/>
      <w:pPr>
        <w:ind w:hanging="360" w:left="6108" w:start="6108"/>
      </w:pPr>
      <w:rPr>
        <w:rFonts w:ascii="Times New Roman" w:eastAsia="Times New Roman" w:hAnsi="Times New Roman" w:cs="Times New Roman"/>
        <w:sz w:val="24"/>
      </w:rPr>
    </w:lvl>
    <w:lvl w:ilvl="8" w:tentative="1">
      <w:lvlJc w:val="right"/>
      <w:lvlText w:val="%9."/>
      <w:numFmt w:val="lowerRoman"/>
      <w:start w:val="1"/>
      <w:suff w:val="tab"/>
      <w:pPr>
        <w:ind w:hanging="180" w:left="6828" w:start="6828"/>
      </w:pPr>
      <w:rPr>
        <w:rFonts w:ascii="Times New Roman" w:eastAsia="Times New Roman" w:hAnsi="Times New Roman" w:cs="Times New Roman"/>
        <w:sz w:val="24"/>
      </w:rPr>
    </w:lvl>
  </w:abstractNum>
  <w:num w:numId="1">
    <w:abstractNumId w:val="1590121883"/>
  </w:num>
</w:numbering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08"/>
  <w:characterSpacingControl xmlns:w="http://schemas.openxmlformats.org/wordprocessingml/2006/main" w:val="doNotCompress"/>
  <w:compat xmlns:w="http://schemas.openxmlformats.org/wordprocessingml/2006/main"/>
  <m:mathPr>
    <m:mathFont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autoHyphenation xmlns:w="http://schemas.openxmlformats.org/wordprocessingml/2006/main" w:val="true"/>
  <w:bordersDoNotSurroundHeader xmlns:w="http://schemas.openxmlformats.org/wordprocessingml/2006/main" w:val="false"/>
  <w:bordersDoNotSurroundFooter xmlns:w="http://schemas.openxmlformats.org/wordprocessingml/2006/main" w:val="false"/>
  <w:footnotePr xmlns:w="http://schemas.openxmlformats.org/wordprocessingml/2006/main">
    <w:footnote w:id="1"/>
    <w:footnote w:id="0"/>
    <w:pos w:val="pageBottom"/>
  </w:footnotePr>
  <w:endnotePr xmlns:w="http://schemas.openxmlformats.org/wordprocessingml/2006/main">
    <w:endnote w:id="1"/>
    <w:endnote w:id="0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footnotes" Target="footnotes.xml"/><Relationship Id="rId4" Type="http://schemas.openxmlformats.org/officeDocument/2006/relationships/endnotes" Target="end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10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0</TotalTime>
  <Pages>2</Pages>
  <Words>447</Words>
  <Characters>2549</Characters>
  <CharactersWithSpaces>2991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</cp:coreProperties>
</file>