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 6 августа 2009г. №211</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с.Тросна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порядке предоставления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жилых помещений муниципального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специализированного жилищного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фонда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частью 4 статьи 14 Жилищного кодекса РФ и Уставом Троснянского района 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Положение о порядке предоставления жилых помещений муниципального специализированного жилищного фонда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приложение 1).</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2.Утвердить Перечень категорий работников, которым могут быть предоставлены служебные жилые помещения в муниципальном жилищном фонде Троснянского района (приложение 2 ).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Утвердить форму Журнала регистрации заявлений граждан о принятии на учет в качестве нуждающихся в служебных жилых помещениях муниципального жилищного фонда Троснянского района ( приложение 3).</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Утвердить форму книги учета граждан, нуждающихся в служебных жилых помещениях муниципального жилищного фонда Троснянского района (приложение 4).</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Настоящее постановление вступает в силу с момента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Контроль за выполнением данного Постановления возложить на комитет по социальным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Председатель районного совета                         Глава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народных депутатов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В.Г.Харлашкин                                                              В.И.Быков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16"/>
        </w:rPr>
      </w:pP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Приложение 1 к постановлению</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Троснянского районного Совета</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народных депутатов</w:t>
      </w:r>
      <w:r>
        <w:rPr>
          <w:rFonts w:ascii="Arial" w:eastAsia="Arial" w:hAnsi="Arial" w:cs="Arial"/>
          <w:sz w:val="24"/>
        </w:rPr>
        <w:t xml:space="preserve"> </w:t>
      </w:r>
      <w:r>
        <w:rPr>
          <w:rFonts w:ascii="Arial" w:eastAsia="Arial" w:hAnsi="Arial" w:cs="Arial"/>
          <w:sz w:val="16"/>
        </w:rPr>
        <w:t xml:space="preserve">«О порядке предоставления</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жилых помещений муниципального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специализированного жилищного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фонда Троснянского района»</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ПРЕДОСТАВЛЕНИЯ ЖИЛЫХ ПОМЕЩЕНИЙ МУНИЦИПАЛЬНОГО СПЕЦИАЛИЗИРОВАННОГО ЖИЛИЩНОГО ФОНДА ТРОСНЯНСКОГО РАЙОНА</w:t>
      </w:r>
    </w:p>
    <w:p>
      <w:pPr>
        <w:jc w:val="center"/>
        <w:textAlignment w:val="auto"/>
        <w:ind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Общие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Положение о порядке предоставления жилых помещений муниципального специализированного жилищного фонда Троснянского района (далее - Положение) разработано на основании Жилищного кодекса Российской Федерации с целью определения порядка предоставления служебных жилых помещений, жилых помещений маневренного фонда.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Настоящее Положение устанавливает: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1.2.1. Виды и назначение жилых помещений муниципального специализированного жилищного фонда (далее - специализированные жилые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1.2.2. Основания предоставления специализированного жилого помещения по договору найма специализированного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1.2.3. Категории граждан, которым могут быть предоставлены специализированные жилые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1.2.4. Порядок заключения, расторжения, прекращения договора найма специализированного жилого помещения и выселения граждан из специализированных жилых помещений.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Правила, установленные настоящим Положением, не распространяются на предоставление жилых помещений в домах системы социального обслуживания населения, жилых помещений фонда для временного поселения вынужденных переселенцев, жилых помещений фонда для временного поселения лиц, признанных беженцами, жилых помещений для социальной защиты отдельных категорий граждан.</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Виды и назначение жилых помещений муниципального специализированного жилищного фонда</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2.1. К специализированным жилым помещениям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служебные жилые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жилые помещения маневренного фонда.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главы Троснянского муниципального района . Предложения по данному вопросу вносятся комиссий , утвержденной администрацией Троснянского района. Работа комиссии осуществляется в соответствии с Постановлением Правительства РФ от 26 января 2006 года № 42 «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на основании Положения, утвержденного председателем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2.3. Служебные жилые помещения предназначены для проживания граждан в связи с прохождением муниципальной службы, избранием на выборные должности в органы местного самоуправления Троснянского района, в связи с характером трудовых отношений с муниципальным унитарным предприятием, муниципальным учреждением.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 Жилые помещения маневренного фонда предназначены для временного проживания граждан: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2.4.1. В связи с капитальным ремонтом или реконструкцией дома, в котором находятся жилые помещения, занимаемые ими по договорам социального найма.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2.4.2. В связи с чрезвычайными обстоятельствами, в результате которых их единственные жилые помещения стали непригодными для проживания.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2.4.3. В иных случаях, предусмотренных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2.5. Специализированные жилые помещения не подлежат отчуждению, обмену, передаче в аренду, внаем, за исключением передачи таких помещений по договорам найма специализированных жилых помещений.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2.6. Специализированные жилые помещения подлежат учету в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2.7. Реестр договоров найма специализированных жилых помещений ведется в администрации Троснянского района (отдел по управлению муниципальным имуществом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Предоставление жилых помещений муниципального специализированного жилищного фонда и пользование ими.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Жилые помещения муниципального специализированного жилищного фонда предоставляются на основании постановления главы Троснянского района по договорам найма специализированных жилых помещений.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Договор найма специализированного жилого помещения заключается на основании постановления главы района о предоставлении жилого помещения в письменной форме в соответствии с требованиями Жилищного кодекса РФ отделом по управлению муниципальным имуществом и подлежит регистрации в реестре договоров найма специализированных жилых помещений.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 Предоставление гражданам-нанимателям субсидий по оплате жилья и коммунальных услуг по договору найма специализированного жилого помещения производится в установленном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Плата за жилищные и коммунальные услуги с граждан, занимающих жилые помещения специализированного жилищного фонда, взимается по ставкам и на условиях, установленных для граждан, занимающих жилые помещения по договору социального найма.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Наймодатель по договору найма специализированного жилого помещения обязан: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3.5.1. Передать нанимателю свободное от прав иных лиц жилое помещение.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3.5.2. Осуществлять капитальный ремонт специализированного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3.5.4. Обеспечивать предоставление нанимателю необходимых коммунальных услуг надлежащего качества.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Наниматель по договору найма специализированного жилого помещения обязан: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3.6.1. Использовать жилое помещение по назначению и в пределах, установленных Жилищным Кодексом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3.6.2. Обеспечивать сохранность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3.6.3. Поддерживать надлежащее состояние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3.6.4. Проводить текущий ремонт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3.6.5. Своевременно вносить плату за жилое помещение и коммунальные услуги.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3.6.6. Информировать наймодателя в установленные договором сроки, об изменении оснований и условий, дающих право пользования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специализированным жилым помещением.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Члены семьи нанимателя жилого помещения маневренного фонда имеют равные с нанимателем права и обязанности. Дееспособные члены семьи нанимателя несут солидарную с нанимателем ответственность по обязательствам, вытекающим из договора найма такого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Члены семьи нанимателя служебного жилого помещения имеют право пользования данным жилым помещением наравне с его нанимателем, если иное не предусмотрено соглашением между нанимателем и членами его семьи. Члены семьи нанимателя служебного жилого помещения обязаны использовать данное жилое помещение по назначению, обеспечивать его сохранность. Дееспособные члены семьи нанимателя служебного жилого помещения несут солидарную с нанимателем ответственность по обязательствам, вытекающим из пользования данным жилым помещением, если иное не установлено соглашением между нанимателем и членами его семьи.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3.9. В случае прекращения семейных отношений с нанимателем специализированного жилого помещения применяются правила, установленные частью 4 статьи 31 Жилищного кодекса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3.10. Договор найма специализированного жилого помещения может быть расторгнут в любое время по соглашению сторон.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3.11. Договор найма специализированного жилого помещения может быть расторгнут в судебном порядке по требованию наймодателя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3.11.1. Не внесения нанимателем платы за жилое помещение и (или) коммунальные услуги в течение более шести месяцев.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3.11.2. Разрушения или повреждения жилого помещения нанимателем или другими гражданами, за действия которых он отвечает.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3.11.3. Систематического нарушения прав и законных интересов соседей, которое делает невозможным совместное проживание в одном жилом помещении.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3.11.4. Использования жилого помещения не по назначению.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3.12.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3.13. В случаях расторжения или прекращения договоров найма специализированных жилых помещений граждане обязаны освободить жилые помещения, которые они занимали по данным договорам, в день расторжения договора.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РФ.</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Особенности предоставления служебных жилых помещений и пользования ими.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Служебные жилые помещения предоставляются отдельным категориям работников муниципальных предприятий и учреждений и муниципальным служащим, перечень которых изложен в приложении 2, по мотивированному письменному ходатайству работодателя.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Служебные жилые помещения предоставляются лицам, не имеющим жилых помещений в населенном пункте, в котором осуществляется трудовая деятельность.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4.3. Служебные жилые помещения предоставляются гражданам в виде отдельной квартиры без соблюдения нормы предоставления, утвержденной органами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 Условием для предоставления служебного жилого помещения является наличие: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4.4.1. Трудового договора с муниципальным унитарным предприятием либо муниципальным учреждением.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4.4.2. Трудового договора с муниципальным служащим.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4.4.3. Документа об избрании на выборную должность в органы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4.5. Договор найма служебного жилого помещения заключается на период трудовых отношений, прохождения муниципальной службы или нахождения на выборной должности. Прекращение трудовых отношений либо пребывания на муниципальной должности или на выборной должности является основанием прекращения договора найма служебного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 Принятие на учет граждан, нуждающихся в предоставлении служебных жилых помещений, осуществляется на основании личных заявлений граждан, которые подаются в жилищные комиссии, созданные по месту их службы (работы).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Жилищные комиссии создаются на основе приказов руководителей муниципальных органов , муниципальных учреждений , унитарных предприятий Троснянского района. Граждане должны представить в жилищные комиссии следующие документы: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4.6.1. Справку о проверке жилищных условий.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4.6.2. Выписку из домовой книги.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4.6.3. Копию финансового лицевого счета.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4.6.4. Выписку из ЕГРП, выданную органами, осуществляющими государственную регистрацию прав на недвижимость и сделок с нею, о наличии или отсутствии прав собственности на жилые помещения, представляемую каждым членом семьи.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4.6.5. Справку с места работы.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4.6.6. Ходатайство работодателя о предоставлении служебного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4.6.7. Копии паспортов заявителя и членов его семьи, свидетельств о рождении детей.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4.6.8. Другие документы, относящиеся к решению данного вопроса.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4.7. Жилищная комиссия регистрирует в день подачи заявление гражданина о принятии его на учет в качестве нуждающегося в служебном жилом помещении в Журнале регистрации заявлений граждан о принятии на учет в качестве нуждающихся в служебных жилых помещениях муниципального жилищного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фонда Троснянского района по форме согласно приложению 3 к настоящему постановлению с указанием даты и времени (часы, минуты) их получения , в течение 1 месяца изучает и обобщает документы, представленные гражданином.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рассмотрения поданных документов жилищная комиссия принимает одно из следующих решений: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 постановке гражданина на учет в качестве нуждающегося в служебном жилом помещении и направлении представленных им документов в отдел по управлению муниципальным имуществом , который осуществляет учет граждан, нуждающихся в предоставлении служебных жилых помещений;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об отказе в постановке гражданина на учет в качестве нуждающегося в служебном жилом помещении.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4.7.1. В случае отказа в постановке гражданина на учет в качестве нуждающегося в служебном жилом помещении жилищная комиссия письменно уведомляет гражданина с указанием причины отказа.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4.7.2. Жилищная комиссия в случае принятия положительного решения по результатам проверки документов направляет представленные гражданином документы вместе с утвержденным протоколом о постановке гражданина на учет в качестве нуждающегося в служебном жилом помещении в отдел по управлению муниципальным имуществом.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4.7.3. Гражданин, представивший в соответствующую жилищную комиссию документы, предусмотренные п.4.6 настоящей статьи, не в полном объеме либо оформленные ненадлежащим образом, вправе, устранив недостатки, подать необходимые документы повторно.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 Ведение учета граждан, нуждающихся в предоставлении служебных жилых по</w:t>
      </w:r>
      <w:r>
        <w:rPr>
          <w:rFonts w:ascii="Arial" w:eastAsia="Arial" w:hAnsi="Arial" w:cs="Arial"/>
          <w:sz w:val="24"/>
        </w:rPr>
        <w:t xml:space="preserve">-</w:t>
      </w:r>
      <w:r>
        <w:rPr>
          <w:rFonts w:ascii="Arial" w:eastAsia="Arial" w:hAnsi="Arial" w:cs="Arial"/>
          <w:sz w:val="24"/>
        </w:rPr>
        <w:t xml:space="preserve">мещений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4.8.1. Учет граждан, нуждающихся в предоставлении служебных жилых помещений, осуществляет отдел по управлению муниципальным имуществом путем ведения Книги учета граждан, нуждающихся в служебных жилых помещениях муниципального жилищного фонда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(далее - Книга учета), по форме согласно приложению 4 к настоящему постановлению.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4.8.2. Отдел по управлению муниципальным имуществом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регистрирует заявление с полным комплектом необходимых документов в Книге учета с указанием даты и времени (часы, минуты) их получения жилищной комиссией;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не позднее месячного срока с момента принятия документов письменно уведомляет заинтересованного гражданина о постановке гражданина на учет в качестве нуждающегося в служебном жилом помещении с указанием даты и времени постановки на учет, а также порядкового номера в очереди на данный момент времени;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 запросу гражданина информирует его о продвижении в очереди;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обобщает сведения о потребности граждан в служебных жилых помещениях;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 каждого гражданина, принятого на учет в качестве нуждающегося в служебном жилом помещении, формируется одно учетное дело, в котором должны содержаться все документы (либо их копии), являющиеся основанием для принятия на учет, в том числе протокол жилищной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4.8.3. Гражданин, состоящий на учете в качестве нуждающегося в предоставлении служебного жилого помещения, ежегодно, не позднее последнего дня месяца, в котором он был поставлен на учет, проходит перерегистрацию . При этом гражданин представляет в отдел по управлению муниципальным имуществом документы, под</w:t>
      </w:r>
      <w:r>
        <w:rPr>
          <w:rFonts w:ascii="Arial" w:eastAsia="Arial" w:hAnsi="Arial" w:cs="Arial"/>
          <w:sz w:val="24"/>
        </w:rPr>
        <w:t xml:space="preserve">-</w:t>
      </w:r>
      <w:r>
        <w:rPr>
          <w:rFonts w:ascii="Arial" w:eastAsia="Arial" w:hAnsi="Arial" w:cs="Arial"/>
          <w:sz w:val="24"/>
        </w:rPr>
        <w:t xml:space="preserve">тверждающие его право на предоставление ему служебного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4.8.4. Отдел по управлению муниципальным имуществом принимает решение о снятии гражданина с учета лиц, нуждающихся в предоставлении служебных жилых помещений, с уведомлением соответствующей жилищной комиссии в следующих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 заявлению гражданина о снятии его с учета;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случае если гражданин утратил основания, дающие право на получение служебного жилого помещения;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если гражданин, состоящий на учете в качестве нуждающегося в служебном жилом помещении, в указанный срок без уважительной причины не представил необходимые документы для перерегистрации.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4.9. Наймодатель по договорам найма служебных жилых помещений вправе требовать у работодателей (юридических лиц), работникам которых предоставлены жилые служебные помещения, подтверждения факта продолжения или прекращения трудовых отношений с этими работниками.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4.10. Работодатели (юридические лица) обязаны в течение 10 дней в письменной форме информировать наймодателя о прекращении трудовых отношений с их работником, которому предоставлялось служебное жилое помещение.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b w:val="true"/>
          <w:rFonts w:ascii="Arial" w:eastAsia="Arial" w:hAnsi="Arial" w:cs="Arial"/>
          <w:sz w:val="24"/>
        </w:rPr>
      </w:pPr>
      <w:r>
        <w:rPr>
          <w:b w:val="true"/>
          <w:rFonts w:ascii="Arial" w:eastAsia="Arial" w:hAnsi="Arial" w:cs="Arial"/>
          <w:sz w:val="24"/>
        </w:rPr>
        <w:t xml:space="preserve">5. Особенности предоставления жилых помещений маневренного жилого фонда и пользования ими.</w:t>
      </w:r>
    </w:p>
    <w:p>
      <w:pPr>
        <w:jc w:val="center"/>
        <w:textAlignment w:val="auto"/>
        <w:ind w:firstLine="709" w:left="0" w:right="0" w:start="0" w:end="0"/>
        <w:spacing w:after="0" w:line="240"/>
        <w:bidi w:val="false"/>
        <w:rPr>
          <w:b w:val="true"/>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 Жилые помещения маневренного фонда предоставляются гражданам: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5.1.1. В связи с капитальным ремонтом или реконструкцией дома, в котором находятся жилые помещения, занимаемые ими по договорам социального найма.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5.1.2. В связи с чрезвычайными обстоятельствами, в результате которых единственные жилые помещения, занимаемые ими, стали непригодными для проживания.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5.1.3. В иных случаях, предусмотренных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 Жилые помещения маневренного фонда предоставляются из расчета не менее шести квадратных метров жилой площади на одного человека.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 Для рассмотрения вопроса о предоставлении жилого помещения маневренного фонда граждане должны представить в жилищную комиссию при администрации Троснянского района документы, указанные в п. 4.6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5.4. Договор найма жилого помещения маневренного жилого фонда заключаются на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5.4.1. До завершения капитального ремонта или реконструкции дома.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5.4.2.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ЖК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ЖК РФ при заключении такого договора с гражданами, указанными в п. 5.1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5.5. Истечение периода, на который заключен договор найма жилого помещения маневренного фонда, является основанием расторжения данного договора.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Приложение 2 к постановлению</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Троснянского районного Совета</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народных депутатов</w:t>
      </w:r>
      <w:r>
        <w:rPr>
          <w:rFonts w:ascii="Arial" w:eastAsia="Arial" w:hAnsi="Arial" w:cs="Arial"/>
          <w:sz w:val="24"/>
        </w:rPr>
        <w:t xml:space="preserve"> </w:t>
      </w:r>
      <w:r>
        <w:rPr>
          <w:rFonts w:ascii="Arial" w:eastAsia="Arial" w:hAnsi="Arial" w:cs="Arial"/>
          <w:sz w:val="16"/>
        </w:rPr>
        <w:t xml:space="preserve">«О порядке предоставления</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жилых помещений муниципального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специализированного жилищного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фонда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ПЕРЕЧЕНЬ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КАТЕГОРИЙ РАБОТНИКОВ, КОТОРЫМ МОГУТ БЫТЬ ПРЕДОСТАВЛЕНЫ СЛУЖЕБНЫЕ ЖИЛЫЕ ПОМЕЩЕНИЯ В МУНИЦИПАЛЬНОМ ЖИЛИЩНОМ ФОНДЕ ТРОСНЯНСКОГО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Лицам, занимающим муниципальные должности в органах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Руководителям муниципальных учреждений и муниципальных унитарных предприятий.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Специалистам, приглашенным для работы в муниципальные учреждения и муниципальные унитарные предприятия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Участковым уполномоченным ОМ Троснянского района. 5. Работникам средств массовой информации.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16"/>
        </w:rPr>
      </w:pP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Приложение 3 к постановлению</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Троснянского районного Совета</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народных депутатов</w:t>
      </w:r>
      <w:r>
        <w:rPr>
          <w:rFonts w:ascii="Arial" w:eastAsia="Arial" w:hAnsi="Arial" w:cs="Arial"/>
          <w:sz w:val="24"/>
        </w:rPr>
        <w:t xml:space="preserve"> </w:t>
      </w:r>
      <w:r>
        <w:rPr>
          <w:rFonts w:ascii="Arial" w:eastAsia="Arial" w:hAnsi="Arial" w:cs="Arial"/>
          <w:sz w:val="16"/>
        </w:rPr>
        <w:t xml:space="preserve">«О порядке предоставления</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жилых помещений муниципального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специализированного жилищного</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 фонда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I. Титульный лист Журнала регистрации заявлений граждан о принятии на учет в качестве нуждающихся в служебных жилых помещениях муниципального жилищного фонда Троснянского района</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«Журнал</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регистрации заявлений граждан о принятии на учет в качестве нуждающихся в служебных жилых помещениях муниципального жилищного фонда Троснянского района</w:t>
      </w:r>
    </w:p>
    <w:p>
      <w:pPr>
        <w:jc w:val="center"/>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Населенный пункт__________________________________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город, поселок, село и др.</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наименование органа муниципальной власти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муниципального учреждения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муниципального предприятия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Начат__________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Окончен________»</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Содержание Журнала регистрации заявлений граждан о принятии на учет в качестве нуждающихся в служебных помещениях муниципального жилищного фонда Троснянского района</w:t>
      </w:r>
    </w:p>
    <w:p>
      <w:pPr>
        <w:jc w:val="center"/>
        <w:textAlignment w:val="auto"/>
        <w:ind w:firstLine="709" w:left="0" w:right="0" w:start="0" w:end="0"/>
        <w:spacing w:after="0" w:line="240"/>
        <w:bidi w:val="false"/>
        <w:rPr>
          <w:rFonts w:ascii="Arial" w:eastAsia="Arial" w:hAnsi="Arial" w:cs="Arial"/>
          <w:sz w:val="24"/>
        </w:rPr>
      </w:pPr>
    </w:p>
    <w:tbl>
      <w:tblPr>
        <w:tblLayout w:type="fixed"/>
        <w:tblInd w:w="0" w:type="dxa"/>
        <w:tblW w:w="10031"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392"/>
        <w:gridCol w:w="1831"/>
        <w:gridCol w:w="1365"/>
        <w:gridCol w:w="1056"/>
        <w:gridCol w:w="1985"/>
        <w:gridCol w:w="1688"/>
        <w:gridCol w:w="1714"/>
      </w:tblGrid>
      <w:tr>
        <w:tc>
          <w:tcPr>
            <w:tcW w:type="dxa" w:w="392"/>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N п/п</w:t>
            </w:r>
          </w:p>
          <w:p>
            <w:pPr>
              <w:jc w:val="center"/>
              <w:textAlignment w:val="auto"/>
              <w:ind w:left="0" w:right="0" w:start="0" w:end="0"/>
              <w:spacing w:after="0" w:line="240"/>
              <w:bidi w:val="false"/>
              <w:rPr>
                <w:rFonts w:ascii="Arial" w:eastAsia="Arial" w:hAnsi="Arial" w:cs="Arial"/>
                <w:sz w:val="24"/>
              </w:rPr>
            </w:pPr>
          </w:p>
        </w:tc>
        <w:tc>
          <w:tcPr>
            <w:tcW w:type="dxa" w:w="1831"/>
            <w:tcBorders>
              <w:left w:sz="4" w:val="single"/>
              <w:top w:sz="4" w:val="single"/>
              <w:right w:sz="4" w:val="single"/>
              <w:bottom w:sz="4"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Дата</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Поступления заявления в жилищную комиссию</w:t>
            </w:r>
          </w:p>
          <w:p>
            <w:pPr>
              <w:jc w:val="center"/>
              <w:textAlignment w:val="auto"/>
              <w:ind w:left="0" w:right="0" w:start="0" w:end="0"/>
              <w:spacing w:after="0" w:line="240"/>
              <w:bidi w:val="false"/>
              <w:rPr>
                <w:rFonts w:ascii="Arial" w:eastAsia="Arial" w:hAnsi="Arial" w:cs="Arial"/>
                <w:sz w:val="24"/>
              </w:rPr>
            </w:pPr>
          </w:p>
        </w:tc>
        <w:tc>
          <w:tcPr>
            <w:tcW w:type="dxa" w:w="1365"/>
            <w:tcBorders>
              <w:left w:sz="4" w:val="single"/>
              <w:top w:sz="4" w:val="single"/>
              <w:right w:sz="4" w:val="single"/>
              <w:bottom w:sz="4"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Фамилия, имя, отчество заявителя</w:t>
            </w:r>
          </w:p>
          <w:p>
            <w:pPr>
              <w:jc w:val="center"/>
              <w:textAlignment w:val="auto"/>
              <w:ind w:left="0" w:right="0" w:start="0" w:end="0"/>
              <w:spacing w:after="0" w:line="240"/>
              <w:bidi w:val="false"/>
              <w:rPr>
                <w:rFonts w:ascii="Arial" w:eastAsia="Arial" w:hAnsi="Arial" w:cs="Arial"/>
                <w:sz w:val="24"/>
              </w:rPr>
            </w:pPr>
          </w:p>
        </w:tc>
        <w:tc>
          <w:tcPr>
            <w:tcW w:type="dxa" w:w="1056"/>
            <w:tcBorders>
              <w:left w:sz="4" w:val="single"/>
              <w:top w:sz="4" w:val="single"/>
              <w:right w:sz="4" w:val="single"/>
              <w:bottom w:sz="4"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Адрес</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занимаемого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жилого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помещения</w:t>
            </w:r>
          </w:p>
          <w:p>
            <w:pPr>
              <w:jc w:val="center"/>
              <w:textAlignment w:val="auto"/>
              <w:ind w:left="0" w:right="0" w:start="0" w:end="0"/>
              <w:spacing w:after="0" w:line="240"/>
              <w:bidi w:val="false"/>
              <w:rPr>
                <w:rFonts w:ascii="Arial" w:eastAsia="Arial" w:hAnsi="Arial" w:cs="Arial"/>
                <w:sz w:val="24"/>
              </w:rPr>
            </w:pPr>
          </w:p>
        </w:tc>
        <w:tc>
          <w:tcPr>
            <w:tcW w:type="dxa" w:w="1985"/>
            <w:tcBorders>
              <w:left w:sz="4" w:val="single"/>
              <w:top w:sz="4" w:val="single"/>
              <w:right w:sz="4" w:val="single"/>
              <w:bottom w:sz="4"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Дата и номер</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решения о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принятии на учет</w:t>
            </w:r>
          </w:p>
          <w:p>
            <w:pPr>
              <w:jc w:val="center"/>
              <w:textAlignment w:val="auto"/>
              <w:ind w:left="0" w:right="0" w:start="0" w:end="0"/>
              <w:spacing w:after="0" w:line="240"/>
              <w:bidi w:val="false"/>
              <w:rPr>
                <w:rFonts w:ascii="Arial" w:eastAsia="Arial" w:hAnsi="Arial" w:cs="Arial"/>
                <w:sz w:val="24"/>
              </w:rPr>
            </w:pPr>
          </w:p>
        </w:tc>
        <w:tc>
          <w:tcPr>
            <w:tcW w:type="dxa" w:w="1688"/>
            <w:tcBorders>
              <w:left w:sz="4" w:val="single"/>
              <w:top w:sz="4" w:val="single"/>
              <w:right w:sz="4" w:val="single"/>
              <w:bottom w:sz="4" w:val="single"/>
            </w:tcBorders>
            <w:shd w:val="nil"/>
            <w:vAlign w:val="top"/>
            <w:textDirection w:val="lrTb"/>
            <w:gridSpan w:val="1"/>
          </w:tcPr>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Сообщение</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заявителю</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о принятом</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решении</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(дата и</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номер</w:t>
            </w:r>
          </w:p>
          <w:p>
            <w:pPr>
              <w:jc w:val="both"/>
              <w:textAlignment w:val="auto"/>
              <w:ind w:firstLine="34" w:left="0" w:right="0" w:start="0" w:end="0"/>
              <w:spacing w:after="0" w:line="240"/>
              <w:bidi w:val="false"/>
              <w:rPr>
                <w:rFonts w:ascii="Arial" w:eastAsia="Arial" w:hAnsi="Arial" w:cs="Arial"/>
                <w:sz w:val="24"/>
              </w:rPr>
            </w:pPr>
            <w:r>
              <w:rPr>
                <w:rFonts w:ascii="Arial" w:eastAsia="Arial" w:hAnsi="Arial" w:cs="Arial"/>
                <w:sz w:val="24"/>
              </w:rPr>
              <w:t xml:space="preserve">письма)</w:t>
            </w:r>
          </w:p>
          <w:p>
            <w:pPr>
              <w:jc w:val="center"/>
              <w:textAlignment w:val="auto"/>
              <w:ind w:left="0" w:right="0" w:start="0" w:end="0"/>
              <w:spacing w:after="0" w:line="240"/>
              <w:bidi w:val="false"/>
              <w:rPr>
                <w:rFonts w:ascii="Arial" w:eastAsia="Arial" w:hAnsi="Arial" w:cs="Arial"/>
                <w:sz w:val="24"/>
              </w:rPr>
            </w:pPr>
          </w:p>
        </w:tc>
        <w:tc>
          <w:tcPr>
            <w:tcW w:type="dxa" w:w="1714"/>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Примечание</w:t>
            </w:r>
          </w:p>
        </w:tc>
      </w:tr>
      <w:tr>
        <w:tc>
          <w:tcPr>
            <w:tcW w:type="dxa" w:w="392"/>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831"/>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36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056"/>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98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688"/>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714"/>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r>
      <w:tr>
        <w:tc>
          <w:tcPr>
            <w:tcW w:type="dxa" w:w="392"/>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831"/>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36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056"/>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98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688"/>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714"/>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r>
      <w:tr>
        <w:tc>
          <w:tcPr>
            <w:tcW w:type="dxa" w:w="392"/>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831"/>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36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056"/>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98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688"/>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714"/>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r>
      <w:tr>
        <w:tc>
          <w:tcPr>
            <w:tcW w:type="dxa" w:w="392"/>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831"/>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36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056"/>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985"/>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688"/>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c>
          <w:tcPr>
            <w:tcW w:type="dxa" w:w="1714"/>
            <w:tcBorders>
              <w:left w:sz="4" w:val="single"/>
              <w:top w:sz="4" w:val="single"/>
              <w:right w:sz="4" w:val="single"/>
              <w:bottom w:sz="4" w:val="single"/>
            </w:tcBorders>
            <w:shd w:val="nil"/>
            <w:vAlign w:val="top"/>
            <w:textDirection w:val="lrTb"/>
            <w:gridSpan w:val="1"/>
          </w:tcPr>
          <w:p>
            <w:pPr>
              <w:jc w:val="center"/>
              <w:textAlignment w:val="auto"/>
              <w:ind w:left="0" w:right="0" w:start="0" w:end="0"/>
              <w:spacing w:after="0" w:line="240"/>
              <w:bidi w:val="false"/>
              <w:rPr>
                <w:rFonts w:ascii="Arial" w:eastAsia="Arial" w:hAnsi="Arial" w:cs="Arial"/>
                <w:sz w:val="24"/>
              </w:rPr>
            </w:pPr>
          </w:p>
        </w:tc>
      </w:tr>
    </w:tbl>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endnote>
  <w:endnote w:type="continuationSeparator" w:id="1">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9</Pages>
  <Words>3085</Words>
  <Characters>17587</Characters>
  <CharactersWithSpaces>20631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