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officeDocument" Target="word/document.xml"/><Relationship Id="rId7" Type="http://schemas.openxmlformats.org/officeDocument/2006/relationships/extended-properties" Target="docProps/app.xml"/><Relationship Id="rId8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v="urn:schemas-microsoft-com:vml" xmlns:o="urn:schemas-microsoft-com:office:office" xmlns:wp="http://schemas.openxmlformats.org/drawingml/2006/wordprocessingDrawing" xmlns:m="http://schemas.openxmlformats.org/officeDocument/2006/math" xmlns:w10="urn:schemas-microsoft-com:office:word" xmlns:a="http://schemas.openxmlformats.org/drawingml/2006/main">
  <w:body>
    <w:p>
      <w:pPr>
        <w:jc w:val="center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РОССИЙСКАЯ ФЕДЕРАЦИЯ</w:t>
      </w:r>
    </w:p>
    <w:p>
      <w:pPr>
        <w:jc w:val="center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ОРЛОВСКАЯ ОБЛАСТЬ</w:t>
      </w:r>
    </w:p>
    <w:p>
      <w:pPr>
        <w:jc w:val="center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ТРОСНЯНСКИЙ РАЙОННЫЙ СОВЕТ НАРОДНЫХ ДЕПУТАТОВ</w:t>
      </w:r>
    </w:p>
    <w:p>
      <w:pPr>
        <w:jc w:val="center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center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center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ПОСТАНОВЛЕНИЕ</w:t>
      </w:r>
    </w:p>
    <w:p>
      <w:pPr>
        <w:jc w:val="center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от 3 ноября 2005г.  №143</w:t>
      </w:r>
    </w:p>
    <w:p>
      <w:pPr>
        <w:jc w:val="center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Об утверждении положения</w:t>
      </w:r>
    </w:p>
    <w:p>
      <w:pPr>
        <w:jc w:val="both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«О градостроительной деятельности</w:t>
      </w:r>
    </w:p>
    <w:p>
      <w:pPr>
        <w:jc w:val="both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на территории Троснянского района»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В соответствии с Градостроительным кодексом РФ, федеральным законом «Об общих принципах организации местного самоуправления в РФ» от 6.10.2003 г. № 131-ФЗ и законодательством Орловской области, районный Совет народных депутатов ПОСТАНОВЛЯЕТ: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1.Утвердить Положение о градостроительной деятельности на территории Троснянского района (Приложение № 1).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2.Данное постановление вступает в силу с 01.01. 2006 года.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Глава администрации                                 В.И. Быков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right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Приложение №1 </w:t>
      </w:r>
    </w:p>
    <w:p>
      <w:pPr>
        <w:jc w:val="right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к постановлению районного Совета депутатов </w:t>
      </w:r>
    </w:p>
    <w:p>
      <w:pPr>
        <w:jc w:val="right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Троснянского     района</w:t>
      </w:r>
    </w:p>
    <w:p>
      <w:pPr>
        <w:jc w:val="right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№143 от 03.11.2005г.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center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Положение о градостроительной деятельности на территории Троснянского района</w:t>
      </w:r>
    </w:p>
    <w:p>
      <w:pPr>
        <w:jc w:val="center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center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1. Общие положения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1.1. Предметы и принципы регулирования градостроительной деятельности органом местного самоуправления 1). Настоящее положение является муниципальным правовым актом, регулирующим отношения между органами государственной власти области, органами местного самоуправления района, а также физическими и юридическими лицами, возникающими при территориальном планировании и осуществлении градостроительной деятельности на территории Троснянского района (далее - градостроительные отношения).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2).Основой для разработки данного положения являются: Градостроительный кодекс РФ, федеральный закон №131-Ф3 «Об общих принципах организации местного самоуправления в  Российской  Федерации», Градостроительный кодекс Орловской области и иные нормативные правовые акты, принятые в развитие этих документов. 3). Настоящее положение определяет: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полномочия представительного и исполнительно-распорядительного органов местного самоуправления в сфере градостроительной деятельности;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принципы регулирования градостроительной деятельности на территории района органами местного самоуправления;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документы территориального планирования района, основные положения об их составе, порядке подготовки и утверждения;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виды местных правовых и нормативных актов, устанавливающих требования и ограничения к использованию и застройке территорий, основные положения об их содержании, порядке подготовки и утверждения;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-публичные слушания граждан, общественных объединений и юридических лиц в обсуждении и принятии решений в области градостроительной деятельности.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4)Градостроительная деятельность на территории района осуществляется на основе следующих принципов: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правовое закрепление основ государственной градостроительной политики на территории района;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правовой характер регулирования градостроительной деятельности на основе законодательства Российской Федерации, законов Орловской области и муниципальных правовых актов;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обеспечение учета и сбалансированности государственных, общественных и частных интересов;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сохранение единства функционирования, планирования и развития инженерной, транспортной, социальной и прочих инфраструктур района;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регулирование градостроительной деятельности с учетом положений социальных, экономических, экологических, культурных и иных программ развития, принятых в установленном порядке органами государственной власти Российской Федерации, Орловской области и местного самоуправления района;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обеспечение формирования на территории района благоприятного инвестиционного климата посредством максимального упрощения процедур согласования разрешительной документации на строительство при безусловном соблюдении требований федерального и областного законодательства, обеспечения предсказуемости и стабильности градостроительных требований при возможности выбора видов использования земельных участков;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обеспечение открытости процедур принятия градостроительных решений;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-обеспечение доступности информационного обеспечения градостроительной деятельности на территории района;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тесное взаимодействие органов местного самоуправления района с органами государственной власти Российской Федерации, органами государственной власти Орловской области и иных заинтересованных субъектов Российской Федерации при территориальном планировании развития и градостроительном регулировании использования территорий района и других принципах, определенных в статье 2 Градостроительного кодекса Российской Федерации.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5)Понятия и термины, применяемые в настоящем правовом акте, если не оговорено иное, полностью соответствуют понятиям и терминам, применяемым в Градостроительном кодексе Российской Федерации.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center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2. Вопросы местного значения в сфере регулирования градостроительной деятельности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2.1. Полномочия Троснянского районного Совета народных депутатов: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утверждение схем территориального планирования района;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-утверждение   местных   нормативов   градостроительного   проектирования межселенных территорий;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утверждение правил землепользования и застройки соответствующих межселенных территорий;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утверждение подготовленной на основе схемы территориального планирования района документации по планировке территории, за исключением случаев, предусмотренных Градостроительным кодексом Российской Федерации.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2.2. Полномочия администрации Троснянского района: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ведение информационной системы обеспечения градостроительной деятельности, осуществляемой на территории района;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-выдача разрешений на строительство,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соответствующих межселенных территориях;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резервирование и изъятие, в том числе путем выкупа, земельных участков в границах района для муниципальных нужд;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осуществление земельного контроля за использованием земель межселенных территорий;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рассмотрение и согласование проектов схем территориального планирования Российской Федерации и Орловской области, подготовленных применительно к территории района, в части учета в предложениях, содержащихся в указанном проекте, положений о территориальном планировании, содержащихся в документах территориального планирования района, учета правил землепользования и застройки, предложений об изменении границ земельных участков, находящихся в муниципальной собственности, а также вопросы размещения объектов капитального строительства федерального значения, которые могут оказать негативное воздействие на окружающую среду на территориях района;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подготовка к утверждению схемы территориального планирования района, а также плана реализации схемы;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принятие в соответствии с Градостроительным кодексом Российской Федерации положения о составе, порядке подготовки и утверждения схемы территориального планирования района, внесения изменений в схему, подготовки плана ее реализации;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-принятие положения о составе, порядке подготовки и утверждения местных нормативов градостроительного проектирования;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принятие в соответствии с Градостроительным кодексом положения о составе и содержании проектов документации по планировке территории, подготавливаемых на основании решений администрации района;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принятие в соответствии с Градостроительным кодексом Российской Федерации порядка формирования и деятельности комиссии по подготовке правил землепользования и застройки;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определение порядка установления причин нарушения законодательства о градостроительной деятельности в отношении объектов индивидуального жилищного строительства;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выступать инициатором совместной подготовки проектов документов территориального планирования.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2.3. Компетенция архитектора Троснянского района. Архитектор Троснянского района: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-участвует в подготовке проектов местных нормативных правовых актов в сфере архитектуры и градостроительства;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-участвует в разработке и реализации градостроительных программ, градостроительных разделов местных целевых программ и программ социально-экономического развития территории района;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-организует подготовку и утверждение схемы территориального планирования района и плана её реализации;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-организует подготовку и утверждение документов по планировке территории для размещения объектов капитального строительства местного значения; 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-обеспечивает взаимодействие участников правоотношений в сфере градостроительной деятельности на территории района;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организует разработку и издание местных нормативов градостроительного проектирования межселенных территорий;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-выдает разрешения на строительство, разрешения на ввод в эксплуатацию объектов капитального строительства, расположенных на территории района;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-оформляет и выдает градостроительные планы земельных участков;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-участвует в проведении мероприятий по созданию и ведению информационной системы обеспечения градостроительной деятельности, осуществляемой на территории района;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-обеспечивает контроль за осуществлением работ по строительству и реконструкции объектов недвижимости в соответствии с разрешением на строительство, а также градостроительными регламентами, строительными нормами и правилами.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center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3. Документы территориального планирования</w:t>
      </w:r>
    </w:p>
    <w:p>
      <w:pPr>
        <w:jc w:val="center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района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3.1 Назначение и виды документов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Территориальное планирование развития территории района осуществляется посредством разработки и документов территориального планирования.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1) Документами территориального планирования района являются схемы территориального планирования района.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2)Документы территориального планирования района являются обязательными для органов местного самоуправления при принятии ими решений и реализации таких решений.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3)Состав, порядок подготовки документов территориального планирования района, внесение изменений в эти документы, подготовки и утверждения планов их реализации устанавливаются в соответствии Градостроительным кодексом Российской Федерации, законами Орловской области, нормативными правовыми актами органов местного самоуправления района.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3.2. Подготовка и утверждение схем территориального планирования района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1)Подготовка схем территориального планирования района осуществляется в соответствии с положениями Градостроительного кодекса Российской Федерации.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2)Согласование проекта схемы территориального планирования района осуществляется в порядке, установленном Правительством Российской Федерации.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3)Схемы территориального планирования района, в том числе внесение изменений в такую схему, утверждается Троснянским районным Советом народных депутатов.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4)Для реализации схемы территориального планирования района главой администрации района в течение трех месяцев со дня утверждения схемы утверждается план реализации схемы территориального планирования района.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Содержание плана реализации должно отражать требования статьи 22 Градостроительного кодекса Российской Федерации.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3.4. Публичные слушания по вопросам в сфере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градостроительной деятельности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1) В соответствии с существующим законодательством на публичные слушания выносятся следующие вопросы в сфере градостроительной деятельности: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рассмотрение проектов генеральных планов поселений;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рассмотрение проектов правил землепользования и застройки;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рассмотрение проектов планировки территорий и проекты межевания территорий;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предоставления разрешений на условно разрешенный вид использования земельных участков и объектов капитального строительства;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отклонения   от   предельных   параметров   разрешенного   строительства, реконструкции объектов капитального строительства.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2) Порядок проведения публичных слушаний определен Уставом Троснянского района и Положением о проведении публичных слушаний и с учетом статьи 28 Градостроительного кодекса Российской Федерации.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center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Глава 4. Регулирование использования и застройки территории района при осуществлении градостроительной деятельности</w:t>
      </w:r>
    </w:p>
    <w:p>
      <w:pPr>
        <w:jc w:val="center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4.1. Общие требования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1) Регулирование использования и застройки территории района осуществляется администрацией района в соответствии с федеральным законодательством и законодательством Орловской области и включает: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введение в действие муниципальных правовых и нормативных актов, которыми устанавливаются требования и ограничения к использованию и застройки территорий района;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подготовку, согласование и утверждение документов территориального планирования;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подготовку, согласование и утверждение документации по планировке территории;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согласование проектной документации на строительство, реконструкцию, капитальный ремонт зданий и сооружений и их частей, а также благоустройство земельных участков;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выдачу разрешений на строительство и разрешений на ввод объектов в эксплуатацию;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осуществление земельного контроля за использованием земель.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2)Требования и ограничения к использованию и застройке территорий района устанавливаются следующими муниципальными нормативными правовыми актами: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правилами землепользования и застройки, а также изменениями и дополнениями, вносимыми в них в установленном порядке;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утвержденной документацией территориального планирования и документами по планировке территорий, а также изменениями и дополнениями, вносимыми в них в установленном порядке;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местными нормативами градостроительного проектирования;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местными целевыми программами и программами социально-экономического развития территории муниципального образования;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постановлениями администрации района о резервировании территорий для государственных и общественных нужд;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проектами границ земельных участков;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правовыми актами об установлении публичных сервитутов;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градостроительными регламентами;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иными актами в соответствии с федеральным законодательством и законодательством Орловской области.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4.2. Правила землепользования и застройки.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Порядок их подготовки, согласования, утверждения и изменения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1). Подготовка проекта правил землепользования и застройки применительно к межселенным территориям осуществляется в случае планирования застройки таких территорий.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2). Решение о подготовке проекта правил землепользования и застройки принимает глава администрации района. Одновременно с принятием решения о подготовке проекта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правил   землепользования   и   застройки главой администрации района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утверждаются состав и порядок деятельности комиссии по подготовке проекта правил землепользования и застройки. Сообщение о принятии такого решения подлежит опубликованию в порядке, установленном для официального опубликования муниципальных правовых актов, иной официальной информации в соответствии с требованиями статьи 31 Градостроительного кодекса Российской Федерации.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3)Порядок подготовки, рассмотрения и утверждения проекта правил землепользования и застройки, а также порядок внесения в них изменений установлен статьями 31 и 32 Градостроительным кодексом Российской Федерации.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4)Правила землепользования и застройки должны соответствовать требованиям технических регламентов и отражать положения о территориальном планировании, содержащихся в документах территориального планирования района, схемах территориального планирования области, схемах территориального планирования Российской Федерации.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4.3. Градостроительные регламенты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1)Градостроительные регламенты устанавливают правовой режим земельных участков расположенных в границах территориальных зон, установленных в проекте правил землепользования и застройки.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2)Использование земельных участков, на которые действие градостроительных регламентов не распространяется или для которых градостроительные регламенты не устанавливаются, определяется в соответствии со статьей 36 Градостроительного кодекса Российской Федерации, в том числе уполномоченными органами местного самоуправления.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4.4. Подготовка и утверждение местных нормативов градостроительного проектирования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1). Органы местного самоуправления могут принимать местные нормативы градостроительного проектирования.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2)Утверждение местных нормативов градостроительного проектирования осуществляется с учетом особенностей населенных пунктов в границах района, межселенных территорий.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3) Состав, порядок подготовки и утверждения местных нормативов градостроительного проектирования устанавливаются нормативными правовыми актами органов местного самоуправления.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4.5. Планировка территории.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1)Подготовка документации по планировке территории осуществляется в соответствии с утвержденными документами территориального планирования, правилами застройки, а также иными требованиями и ограничениями, определенными главой 5 статьями 41-46 Градостроительного кодекса Российской Федерации.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2)При подготовке документации по планировке территории может осуществляться разработка: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проектов планировки территории;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проектов межевания территории;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градостроительных планов земельных участков.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3) Решения о подготовке документации по планировке территории района принимает администрация Троснянского района.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4) Архитектор района обеспечивает подготовку документации по планировке территории на основании схемы территориального планирования района, если в ней предусмотрено размещение объектов капитального строительства местного значения или объектов капитального строительства на межселенных территориях, а также на основании правил землепользования и застройки межселенных территорий.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5) Порядок подготовки документации по планировке территории, разрабатываемой на основании постановления администрации района, устанавливается нормативным правовым актом органа местного самоуправления в соответствии с Градостроительным кодексом Российской Федерации.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4.6. Подготовка    проектов   планировки территории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1)Проект планировки территории разрабатывается для выделения элементов планировочной структуры, установления параметров планируемого развития элементов планировочной структуры. Проект планировки является основным видом документации по планировке территории и основой для разработки проектов межевания территорий.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2)Состав и содержание проектов планировки территории, подготовка которых осуществляется на основании схемы территориального планирования области, документов территориального планирования района, устанавливаются областным законодательство в соответствии со статьей 42 Градостроительного кодекса Российской Федерации.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4.7. Проекты межевания территорий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Подготовка проектов межевания территорий осуществляется в составе проектов планировки территории или в виде отдельного документа. Порядок подготовки проектов межевания, а также состав проекта определен в статье 43 Градостроительного кодекса Российской Федерации.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4.8. Подготовка градостроительных планов земельных участков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1) В соответствии со статьей 44 Градостроительного кодекса РФ подготовка градостроительных планов земельных участков осуществляется применительно к застроенным или предназначенным для застройки, реконструкции объектов капитального строительства земельным участкам.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2)Подготовка градостроительного плана земельного участка осуществляется в составе проекта межевания территории или в виде отдельного документа.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3)Оформление градостроительного плана осуществляется по форме, установленной постановлением Правительства Российской Федерации.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4)Изготовление и выдачу градостроительного плана земельного участка по заявке физического или юридического лица осуществляет отдел архитектуры и строительства администрации района.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5)Сведения градостроительного плана учитываются в соответствующей информационной системе градостроительной деятельности с указанием количества изготовленных экземпляров.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6)Изменения в градостроительный план вносятся в соответствии с принимаемыми на основании документов территориального планирования, правилами землепользования и застройки, постановлениями администрации района.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4.9. Проектная документация, строительство и реконструкция объектов капитального строительства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1)Проектная документация на     строительство (реконструкцию) объектов на территории района должна соответствовать требованиям к использованию и застройке территорий участка: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утвержденным документам территориального планирования; установленным техническим регламентам; выданному градостроительному плану земельного участка;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техническим условиям на присоединение к сетям инженерно-технического обеспечения;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иным требованиям, установленным в соответствии с федеральным законодательством и законодательством Орловской области.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2) Состав, содержание, порядок согласования, экспертизы, утверждения, внесения изменений, хранения и применения проектной документации определяются федеральным законодательством, законодательством Орловской области и принятыми в соответствии с ними нормативными правовыми актами Орловской области.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3) Утвержденная в установленном порядке проектная документация является основанием для выдачи разрешения на строительство.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4.10. Выдача разрешений на строительство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1).Орган местного самоуправления выдает разрешение на строительство: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на земельном участке, на который не распространяется действие градостроительного регламента или для которого не устанавливается в соответствии с компетенцией органа;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объектов местного значения, при размещении которых допускается изъятие, в том числе путем выкупа, земельных участков;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в других случаях по месту нахождения земельного участка.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2)В целях получения разрешения на строительство застройщик направляет в орган местного самоуправления заявление о выдаче разрешения на строительство. К заявлению прилагаются документы, определенные статьей 51 Градостроительного кодекса Российской Федерации.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3)Выдача разрешение на строительство осуществляется в порядке установленном Градостроительным кодексом РФ, федеральными и областными нормативными правовыми актами.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4) Выдача разрешения на строительство осуществляется без взимания платы. 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4.11. Выдача разрешения на ввод объекта в эксплуатацию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1) Для ввода объекта в эксплуатацию застройщик обращается в орган местного самоуправления, выдавший разрешение на строительство, с заявлением о выдаче разрешения на ввод объекта в эксплуатацию.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2) Перечень документов, прилагающихся к заявлению о выдаче разрешения на ввод объекта в эксплуатацию должен соответствовать требованиям части 3 статьи 55 Градостроительного кодекса РФ.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3)Разрешение на ввод объекта в эксплуатацию выдается в порядке и по форме установленном Правительством Российской Федерации.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4)Разрешение на ввод объекта в эксплуатацию подписывается должностным лицом органа местного самоуправления, которое в установленном порядке наделен данными полномочиями.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5) Порядковый номер разрешения на ввод объекта в эксплуатацию должен соответствовать порядковому номеру разрешения на строительство, выданному на данный объект.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6) Копия разрешения вместе с заявлением на получение разрешения и прилагаемые к заявлению документами хранятся в соответствующем отделе органа местного самоуправления, его выдавшем.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center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5. Информационное обеспечение градостроительной деятельности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Ведение информационной системы обеспечение градостроительной деятельности на территории района осуществляется путем сбора, документирования, актуализации, обработки, систематизации, учета и хранения сведений, необходимых для осуществления градостроительной деятельности в порядке установленном статьями 56 и 57 Градостроительного кодекса РФ, также постановления Правительства Российской Федерации по данному вопросу.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center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6. Ответственность за нарушение законодательства о градостроительной деятельности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1)Нарушения градостроительного законодательства влекут ответственность, установленную законодательством Российской Федерации и Орловской области.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2)Возмещение вреда, причиненного жизни или здоровью физических лиц, имуществу физических и юридических лиц при осуществлении градостроительной деятельности, определяется статьями 59 и 60 Градостроительного кодекса РФ.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3)Орган местного самоуправления для установления причин нарушения законодательства о градостроительной деятельности создает техническую комиссию.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Порядок установления причин нарушения законодательства о градостроительной деятельности в отношении объектов индивидуального жилищного строительства, а также, если вред жизни или здоровью физических лиц либо значительный вред имуществу физических или юридических лиц не причиняется, устанавливается решением главы администрации района.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</w:p>
    <w:sectPr>
      <w:type w:val="continuous"/>
      <w:cols w:num="1" w:space="720" w:equalWidth="true"/>
      <w:footnotePr>
        <w:pos w:val="pageBottom"/>
      </w:footnotePr>
      <w:lnNumType w:distance="0"/>
      <w:pgSz w:w="11909" w:h="16834"/>
      <w:pgMar w:left="1701" w:right="851" w:top="1134" w:bottom="1134" w:gutter="0" w:header="720" w:footer="720"/>
    </w:sectPr>
  </w:body>
</w:document>
</file>

<file path=word/endnotes.xml><?xml version="1.0" encoding="utf-8"?>
<w:endnotes xmlns:wpc="http://schemas.microsoft.com/office/word/2008/6/28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08/9/1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09/2/wordml" xmlns:wpg="http://schemas.microsoft.com/office/word/2008/6/28/wordprocessingGroup" xmlns:wpi="http://schemas.microsoft.com/office/word/2008/6/28/wordprocessingInk" xmlns:wne="http://schemas.microsoft.com/office/word/2006/wordml" xmlns:wps="http://schemas.microsoft.com/office/word/2008/6/28/wordprocessingShape">
  <w:endnote w:type="separator" w:id="0"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separator/>
      </w:r>
    </w:p>
  </w:endnote>
  <w:endnote w:type="continuationSeparator" w:id="1"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separator/>
      </w:r>
    </w:p>
  </w:endnote>
</w:endnotes>
</file>

<file path=word/fontTable.xml><?xml version="1.0" encoding="utf-8"?>
<w:fonts xmlns:w="http://schemas.openxmlformats.org/wordprocessingml/2006/main">
  <w:font w:name="Times New Roman">
    <w:panose1 w:val="02020603050405020304"/>
    <w:family w:val="roman"/>
    <w:charset w:val="CC"/>
    <w:pitch w:val="variable"/>
  </w:font>
  <w:font w:name="Arial">
    <w:panose1 w:val="020b0604020202020204"/>
    <w:family w:val="swiss"/>
    <w:charset w:val="CC"/>
    <w:pitch w:val="variable"/>
  </w:font>
  <w:font w:name="Cambria Math">
    <w:panose1 w:val="02040503050406030204"/>
    <w:family w:val="roman"/>
    <w:charset w:val="01"/>
    <w:pitch w:val="variable"/>
  </w:font>
  <w:font w:name="Times New Roman">
    <w:panose1 w:val="02020603050405020304"/>
    <w:family w:val="roman"/>
    <w:charset w:val="CC"/>
    <w:pitch w:val="variable"/>
  </w:font>
  <w:font w:name="Times New Roman">
    <w:panose1 w:val="02020603050405020304"/>
    <w:family w:val="roman"/>
    <w:charset w:val="CC"/>
    <w:pitch w:val="variable"/>
  </w:font>
  <w:font w:name="Cambria">
    <w:panose1 w:val="02040503050406030204"/>
    <w:family w:val="roman"/>
    <w:charset w:val="CC"/>
    <w:pitch w:val="variable"/>
  </w:font>
  <w:font w:name="Times New Roman">
    <w:panose1 w:val="02020603050405020304"/>
    <w:family w:val="roman"/>
    <w:charset w:val="CC"/>
    <w:pitch w:val="variable"/>
  </w:font>
  <w:font w:name="Times New Roman">
    <w:panose1 w:val="02020603050405020304"/>
    <w:family w:val="roman"/>
    <w:charset w:val="CC"/>
    <w:pitch w:val="variable"/>
  </w:font>
  <w:font w:name="Times New Roman">
    <w:panose1 w:val="02020603050405020304"/>
    <w:family w:val="roman"/>
    <w:charset w:val="CC"/>
    <w:pitch w:val="variable"/>
  </w:font>
  <w:font w:name="Calibri">
    <w:panose1 w:val="020f0502020204030204"/>
    <w:family w:val="swiss"/>
    <w:charset w:val="CC"/>
    <w:pitch w:val="variable"/>
  </w:font>
  <w:font w:name="Times New Roman">
    <w:panose1 w:val="02020603050405020304"/>
    <w:family w:val="roman"/>
    <w:charset w:val="CC"/>
    <w:pitch w:val="variable"/>
  </w:font>
  <w:font w:name="Times New Roman">
    <w:family w:val="roman"/>
    <w:charset w:val="00"/>
    <w:pitch w:val="variable"/>
  </w:font>
  <w:font w:name="Times New Roman CE">
    <w:family w:val="roman"/>
    <w:charset w:val="EE"/>
    <w:pitch w:val="variable"/>
  </w:font>
  <w:font w:name="Times New Roman Greek">
    <w:family w:val="roman"/>
    <w:charset w:val="A1"/>
    <w:pitch w:val="variable"/>
  </w:font>
  <w:font w:name="Times New Roman Tur">
    <w:family w:val="roman"/>
    <w:charset w:val="A2"/>
    <w:pitch w:val="variable"/>
  </w:font>
  <w:font w:name="Times New Roman (Hebrew)">
    <w:family w:val="roman"/>
    <w:charset w:val="B1"/>
    <w:pitch w:val="variable"/>
  </w:font>
  <w:font w:name="Times New Roman (Arabic)">
    <w:family w:val="roman"/>
    <w:charset w:val="B2"/>
    <w:pitch w:val="variable"/>
  </w:font>
  <w:font w:name="Times New Roman Baltic">
    <w:family w:val="roman"/>
    <w:charset w:val="BA"/>
    <w:pitch w:val="variable"/>
  </w:font>
  <w:font w:name="Times New Roman (Vietnamese)">
    <w:family w:val="roman"/>
    <w:charset w:val="A3"/>
    <w:pitch w:val="variable"/>
  </w:font>
  <w:font w:name="Arial">
    <w:family w:val="swiss"/>
    <w:charset w:val="00"/>
    <w:pitch w:val="variable"/>
  </w:font>
  <w:font w:name="Arial CE">
    <w:family w:val="swiss"/>
    <w:charset w:val="EE"/>
    <w:pitch w:val="variable"/>
  </w:font>
  <w:font w:name="Arial Greek">
    <w:family w:val="swiss"/>
    <w:charset w:val="A1"/>
    <w:pitch w:val="variable"/>
  </w:font>
  <w:font w:name="Arial Tur">
    <w:family w:val="swiss"/>
    <w:charset w:val="A2"/>
    <w:pitch w:val="variable"/>
  </w:font>
  <w:font w:name="Arial (Hebrew)">
    <w:family w:val="swiss"/>
    <w:charset w:val="B1"/>
    <w:pitch w:val="variable"/>
  </w:font>
  <w:font w:name="Arial (Arabic)">
    <w:family w:val="swiss"/>
    <w:charset w:val="B2"/>
    <w:pitch w:val="variable"/>
  </w:font>
  <w:font w:name="Arial Baltic">
    <w:family w:val="swiss"/>
    <w:charset w:val="BA"/>
    <w:pitch w:val="variable"/>
  </w:font>
  <w:font w:name="Arial (Vietnamese)">
    <w:family w:val="swiss"/>
    <w:charset w:val="A3"/>
    <w:pitch w:val="variable"/>
  </w:font>
  <w:font w:name="Times New Roman">
    <w:family w:val="roman"/>
    <w:charset w:val="00"/>
    <w:pitch w:val="variable"/>
  </w:font>
  <w:font w:name="Times New Roman CE">
    <w:family w:val="roman"/>
    <w:charset w:val="EE"/>
    <w:pitch w:val="variable"/>
  </w:font>
  <w:font w:name="Times New Roman Greek">
    <w:family w:val="roman"/>
    <w:charset w:val="A1"/>
    <w:pitch w:val="variable"/>
  </w:font>
  <w:font w:name="Times New Roman Tur">
    <w:family w:val="roman"/>
    <w:charset w:val="A2"/>
    <w:pitch w:val="variable"/>
  </w:font>
  <w:font w:name="Times New Roman (Hebrew)">
    <w:family w:val="roman"/>
    <w:charset w:val="B1"/>
    <w:pitch w:val="variable"/>
  </w:font>
  <w:font w:name="Times New Roman (Arabic)">
    <w:family w:val="roman"/>
    <w:charset w:val="B2"/>
    <w:pitch w:val="variable"/>
  </w:font>
  <w:font w:name="Times New Roman Baltic">
    <w:family w:val="roman"/>
    <w:charset w:val="BA"/>
    <w:pitch w:val="variable"/>
  </w:font>
  <w:font w:name="Times New Roman (Vietnamese)">
    <w:family w:val="roman"/>
    <w:charset w:val="A3"/>
    <w:pitch w:val="variable"/>
  </w:font>
  <w:font w:name="Times New Roman">
    <w:family w:val="roman"/>
    <w:charset w:val="00"/>
    <w:pitch w:val="variable"/>
  </w:font>
  <w:font w:name="Times New Roman CE">
    <w:family w:val="roman"/>
    <w:charset w:val="EE"/>
    <w:pitch w:val="variable"/>
  </w:font>
  <w:font w:name="Times New Roman Greek">
    <w:family w:val="roman"/>
    <w:charset w:val="A1"/>
    <w:pitch w:val="variable"/>
  </w:font>
  <w:font w:name="Times New Roman Tur">
    <w:family w:val="roman"/>
    <w:charset w:val="A2"/>
    <w:pitch w:val="variable"/>
  </w:font>
  <w:font w:name="Times New Roman (Hebrew)">
    <w:family w:val="roman"/>
    <w:charset w:val="B1"/>
    <w:pitch w:val="variable"/>
  </w:font>
  <w:font w:name="Times New Roman (Arabic)">
    <w:family w:val="roman"/>
    <w:charset w:val="B2"/>
    <w:pitch w:val="variable"/>
  </w:font>
  <w:font w:name="Times New Roman Baltic">
    <w:family w:val="roman"/>
    <w:charset w:val="BA"/>
    <w:pitch w:val="variable"/>
  </w:font>
  <w:font w:name="Times New Roman (Vietnamese)">
    <w:family w:val="roman"/>
    <w:charset w:val="A3"/>
    <w:pitch w:val="variable"/>
  </w:font>
  <w:font w:name="Cambria">
    <w:family w:val="roman"/>
    <w:charset w:val="00"/>
    <w:pitch w:val="variable"/>
  </w:font>
  <w:font w:name="Cambria CE">
    <w:family w:val="roman"/>
    <w:charset w:val="EE"/>
    <w:pitch w:val="variable"/>
  </w:font>
  <w:font w:name="Cambria Greek">
    <w:family w:val="roman"/>
    <w:charset w:val="A1"/>
    <w:pitch w:val="variable"/>
  </w:font>
  <w:font w:name="Cambria Tur">
    <w:family w:val="roman"/>
    <w:charset w:val="A2"/>
    <w:pitch w:val="variable"/>
  </w:font>
  <w:font w:name="Cambria Baltic">
    <w:family w:val="roman"/>
    <w:charset w:val="BA"/>
    <w:pitch w:val="variable"/>
  </w:font>
  <w:font w:name="Cambria (Vietnamese)">
    <w:family w:val="roman"/>
    <w:charset w:val="A3"/>
    <w:pitch w:val="variable"/>
  </w:font>
  <w:font w:name="Times New Roman">
    <w:family w:val="roman"/>
    <w:charset w:val="00"/>
    <w:pitch w:val="variable"/>
  </w:font>
  <w:font w:name="Times New Roman CE">
    <w:family w:val="roman"/>
    <w:charset w:val="EE"/>
    <w:pitch w:val="variable"/>
  </w:font>
  <w:font w:name="Times New Roman Greek">
    <w:family w:val="roman"/>
    <w:charset w:val="A1"/>
    <w:pitch w:val="variable"/>
  </w:font>
  <w:font w:name="Times New Roman Tur">
    <w:family w:val="roman"/>
    <w:charset w:val="A2"/>
    <w:pitch w:val="variable"/>
  </w:font>
  <w:font w:name="Times New Roman (Hebrew)">
    <w:family w:val="roman"/>
    <w:charset w:val="B1"/>
    <w:pitch w:val="variable"/>
  </w:font>
  <w:font w:name="Times New Roman (Arabic)">
    <w:family w:val="roman"/>
    <w:charset w:val="B2"/>
    <w:pitch w:val="variable"/>
  </w:font>
  <w:font w:name="Times New Roman Baltic">
    <w:family w:val="roman"/>
    <w:charset w:val="BA"/>
    <w:pitch w:val="variable"/>
  </w:font>
  <w:font w:name="Times New Roman (Vietnamese)">
    <w:family w:val="roman"/>
    <w:charset w:val="A3"/>
    <w:pitch w:val="variable"/>
  </w:font>
  <w:font w:name="Times New Roman">
    <w:family w:val="roman"/>
    <w:charset w:val="00"/>
    <w:pitch w:val="variable"/>
  </w:font>
  <w:font w:name="Times New Roman CE">
    <w:family w:val="roman"/>
    <w:charset w:val="EE"/>
    <w:pitch w:val="variable"/>
  </w:font>
  <w:font w:name="Times New Roman Greek">
    <w:family w:val="roman"/>
    <w:charset w:val="A1"/>
    <w:pitch w:val="variable"/>
  </w:font>
  <w:font w:name="Times New Roman Tur">
    <w:family w:val="roman"/>
    <w:charset w:val="A2"/>
    <w:pitch w:val="variable"/>
  </w:font>
  <w:font w:name="Times New Roman (Hebrew)">
    <w:family w:val="roman"/>
    <w:charset w:val="B1"/>
    <w:pitch w:val="variable"/>
  </w:font>
  <w:font w:name="Times New Roman (Arabic)">
    <w:family w:val="roman"/>
    <w:charset w:val="B2"/>
    <w:pitch w:val="variable"/>
  </w:font>
  <w:font w:name="Times New Roman Baltic">
    <w:family w:val="roman"/>
    <w:charset w:val="BA"/>
    <w:pitch w:val="variable"/>
  </w:font>
  <w:font w:name="Times New Roman (Vietnamese)">
    <w:family w:val="roman"/>
    <w:charset w:val="A3"/>
    <w:pitch w:val="variable"/>
  </w:font>
  <w:font w:name="Times New Roman">
    <w:family w:val="roman"/>
    <w:charset w:val="00"/>
    <w:pitch w:val="variable"/>
  </w:font>
  <w:font w:name="Times New Roman CE">
    <w:family w:val="roman"/>
    <w:charset w:val="EE"/>
    <w:pitch w:val="variable"/>
  </w:font>
  <w:font w:name="Times New Roman Greek">
    <w:family w:val="roman"/>
    <w:charset w:val="A1"/>
    <w:pitch w:val="variable"/>
  </w:font>
  <w:font w:name="Times New Roman Tur">
    <w:family w:val="roman"/>
    <w:charset w:val="A2"/>
    <w:pitch w:val="variable"/>
  </w:font>
  <w:font w:name="Times New Roman (Hebrew)">
    <w:family w:val="roman"/>
    <w:charset w:val="B1"/>
    <w:pitch w:val="variable"/>
  </w:font>
  <w:font w:name="Times New Roman (Arabic)">
    <w:family w:val="roman"/>
    <w:charset w:val="B2"/>
    <w:pitch w:val="variable"/>
  </w:font>
  <w:font w:name="Times New Roman Baltic">
    <w:family w:val="roman"/>
    <w:charset w:val="BA"/>
    <w:pitch w:val="variable"/>
  </w:font>
  <w:font w:name="Times New Roman (Vietnamese)">
    <w:family w:val="roman"/>
    <w:charset w:val="A3"/>
    <w:pitch w:val="variable"/>
  </w:font>
  <w:font w:name="Calibri">
    <w:family w:val="swiss"/>
    <w:charset w:val="00"/>
    <w:pitch w:val="variable"/>
  </w:font>
  <w:font w:name="Calibri CE">
    <w:family w:val="swiss"/>
    <w:charset w:val="EE"/>
    <w:pitch w:val="variable"/>
  </w:font>
  <w:font w:name="Calibri Greek">
    <w:family w:val="swiss"/>
    <w:charset w:val="A1"/>
    <w:pitch w:val="variable"/>
  </w:font>
  <w:font w:name="Calibri Tur">
    <w:family w:val="swiss"/>
    <w:charset w:val="A2"/>
    <w:pitch w:val="variable"/>
  </w:font>
  <w:font w:name="Calibri Baltic">
    <w:family w:val="swiss"/>
    <w:charset w:val="BA"/>
    <w:pitch w:val="variable"/>
  </w:font>
  <w:font w:name="Calibri (Vietnamese)">
    <w:family w:val="swiss"/>
    <w:charset w:val="A3"/>
    <w:pitch w:val="variable"/>
  </w:font>
  <w:font w:name="Times New Roman">
    <w:family w:val="roman"/>
    <w:charset w:val="00"/>
    <w:pitch w:val="variable"/>
  </w:font>
  <w:font w:name="Times New Roman CE">
    <w:family w:val="roman"/>
    <w:charset w:val="EE"/>
    <w:pitch w:val="variable"/>
  </w:font>
  <w:font w:name="Times New Roman Greek">
    <w:family w:val="roman"/>
    <w:charset w:val="A1"/>
    <w:pitch w:val="variable"/>
  </w:font>
  <w:font w:name="Times New Roman Tur">
    <w:family w:val="roman"/>
    <w:charset w:val="A2"/>
    <w:pitch w:val="variable"/>
  </w:font>
  <w:font w:name="Times New Roman (Hebrew)">
    <w:family w:val="roman"/>
    <w:charset w:val="B1"/>
    <w:pitch w:val="variable"/>
  </w:font>
  <w:font w:name="Times New Roman (Arabic)">
    <w:family w:val="roman"/>
    <w:charset w:val="B2"/>
    <w:pitch w:val="variable"/>
  </w:font>
  <w:font w:name="Times New Roman Baltic">
    <w:family w:val="roman"/>
    <w:charset w:val="BA"/>
    <w:pitch w:val="variable"/>
  </w:font>
  <w:font w:name="Times New Roman (Vietnamese)">
    <w:family w:val="roman"/>
    <w:charset w:val="A3"/>
    <w:pitch w:val="variable"/>
  </w:font>
</w:fonts>
</file>

<file path=word/footnotes.xml><?xml version="1.0" encoding="utf-8"?>
<w:footnotes xmlns:wpc="http://schemas.microsoft.com/office/word/2008/6/28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08/9/1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09/2/wordml" xmlns:wpg="http://schemas.microsoft.com/office/word/2008/6/28/wordprocessingGroup" xmlns:wpi="http://schemas.microsoft.com/office/word/2008/6/28/wordprocessingInk" xmlns:wne="http://schemas.microsoft.com/office/word/2006/wordml" xmlns:wps="http://schemas.microsoft.com/office/word/2008/6/28/wordprocessingShape">
  <w:footnote w:type="separator" w:id="0"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separator/>
      </w:r>
    </w:p>
  </w:footnote>
  <w:footnote w:type="continuationSeparator" w:id="1"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continuationSeparator/>
      </w:r>
    </w:p>
  </w:footnote>
</w:footnotes>
</file>

<file path=word/settings.xml><?xml version="1.0" encoding="utf-8"?>
<w:settings xmlns:w="http://schemas.openxmlformats.org/wordprocessingml/2006/main" xmlns:m="http://schemas.openxmlformats.org/officeDocument/2006/math">
  <w:zoom w:percent="100"/>
  <w:defaultTabStop w:val="720"/>
  <w:characterSpacingControl xmlns:w="http://schemas.openxmlformats.org/wordprocessingml/2006/main" w:val="doNotCompress"/>
  <w:compat>
    <w:doNotUseHTMLParagraphAutoSpacing xmlns:w="http://schemas.openxmlformats.org/wordprocessingml/2006/main"/>
    <w:forgetLastTabAlignment xmlns:w="http://schemas.openxmlformats.org/wordprocessingml/2006/main"/>
  </w:compat>
  <m:mathPr>
    <m:mathFont m:val="Cambria Math"/>
    <m:brkBin m:val="before"/>
    <m:brkBinSub m:val="--"/>
    <m:smallFrac w:val="0"/>
    <m:dispDef w:val="1"/>
    <m:lMargin w:val="0"/>
    <m:rMargin w:val="0"/>
    <m:defJc m:val="centerGroup"/>
    <m:wrapIndent w:val="1440"/>
    <m:intLim xmlns:m="http://schemas.openxmlformats.org/officeDocument/2006/math" m:val="subSup"/>
    <m:naryLim m:val="undOvr"/>
  </m:mathPr>
  <w:themeFontLang xmlns:w="http://schemas.openxmlformats.org/wordprocessingml/2006/main" w:val="ru-RU"/>
  <w:clrSchemeMapping xmlns:w="http://schemas.openxmlformats.org/wordprocessingml/2006/main" w:bg1="light1" w:t1="dark1" w:bg2="light2" w:t2="dark2" w:accent1="accent1" w:accent2="accent2" w:accent3="accent3" w:accent4="accent4" w:accent5="accent5" w:accent6="accent6" w:hyperlink="hyperlink" w:followedHyperlink="followedHyperlink"/>
  <w:shapeDefaults xmlns:w="http://schemas.openxmlformats.org/wordprocessingml/2006/main">
    <o:shapedefaults xmlns:o="urn:schemas-microsoft-com:office:office" xmlns:v="urn:schemas-microsoft-com:vml" v:ext="edit" spidmax="2050"/>
    <o:shapelayout xmlns:o="urn:schemas-microsoft-com:office:office" xmlns:v="urn:schemas-microsoft-com:vml" v:ext="edit">
      <o:idmap v:ext="edit" data="1"/>
    </o:shapelayout>
  </w:shapeDefaults>
  <w:decimalSymbol xmlns:w="http://schemas.openxmlformats.org/wordprocessingml/2006/main" w:val=","/>
  <w:listSeparator xmlns:w="http://schemas.openxmlformats.org/wordprocessingml/2006/main" w:val=";"/>
  <w:doNotHyphenateCaps xmlns:w="http://schemas.openxmlformats.org/wordprocessingml/2006/main" w:val="true"/>
  <w:footnotePr xmlns:w="http://schemas.openxmlformats.org/wordprocessingml/2006/main">
    <w:footnote w:id="0"/>
    <w:footnote w:id="1"/>
    <w:pos w:val="pageBottom"/>
  </w:footnotePr>
  <w:endnotePr xmlns:w="http://schemas.openxmlformats.org/wordprocessingml/2006/main">
    <w:endnote w:id="0"/>
    <w:endnote w:id="1"/>
    <w:pos w:val="docEnd"/>
  </w:endnotePr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
<Relationships xmlns="http://schemas.openxmlformats.org/package/2006/relationships"><Relationship Id="rId2" Type="http://schemas.openxmlformats.org/officeDocument/2006/relationships/theme" Target="theme/theme1.xml"/><Relationship Id="rId3" Type="http://schemas.openxmlformats.org/officeDocument/2006/relationships/footnotes" Target="footnotes.xml"/><Relationship Id="rId4" Type="http://schemas.openxmlformats.org/officeDocument/2006/relationships/endnotes" Target="endnotes.xml"/><Relationship Id="rId5" Type="http://schemas.openxmlformats.org/officeDocument/2006/relationships/styles" Target="styles.xml"/><Relationship Id="rId6" Type="http://schemas.openxmlformats.org/officeDocument/2006/relationships/fontTable" Target="fontTable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07/7/7/main" val="1F497D" mc:Ignorable=""/>
      </a:dk2>
      <a:lt2>
        <a:srgbClr xmlns:mc="http://schemas.openxmlformats.org/markup-compatibility/2006" xmlns:a14="http://schemas.microsoft.com/office/drawing/2007/7/7/main" val="EEECE1" mc:Ignorable=""/>
      </a:lt2>
      <a:accent1>
        <a:srgbClr xmlns:mc="http://schemas.openxmlformats.org/markup-compatibility/2006" xmlns:a14="http://schemas.microsoft.com/office/drawing/2007/7/7/main" val="4F81BD" mc:Ignorable=""/>
      </a:accent1>
      <a:accent2>
        <a:srgbClr xmlns:mc="http://schemas.openxmlformats.org/markup-compatibility/2006" xmlns:a14="http://schemas.microsoft.com/office/drawing/2007/7/7/main" val="C0504D" mc:Ignorable=""/>
      </a:accent2>
      <a:accent3>
        <a:srgbClr xmlns:mc="http://schemas.openxmlformats.org/markup-compatibility/2006" xmlns:a14="http://schemas.microsoft.com/office/drawing/2007/7/7/main" val="9BBB59" mc:Ignorable=""/>
      </a:accent3>
      <a:accent4>
        <a:srgbClr xmlns:mc="http://schemas.openxmlformats.org/markup-compatibility/2006" xmlns:a14="http://schemas.microsoft.com/office/drawing/2007/7/7/main" val="8064A2" mc:Ignorable=""/>
      </a:accent4>
      <a:accent5>
        <a:srgbClr xmlns:mc="http://schemas.openxmlformats.org/markup-compatibility/2006" xmlns:a14="http://schemas.microsoft.com/office/drawing/2007/7/7/main" val="4BACC6" mc:Ignorable=""/>
      </a:accent5>
      <a:accent6>
        <a:srgbClr xmlns:mc="http://schemas.openxmlformats.org/markup-compatibility/2006" xmlns:a14="http://schemas.microsoft.com/office/drawing/2007/7/7/main" val="F79646" mc:Ignorable=""/>
      </a:accent6>
      <a:hlink>
        <a:srgbClr xmlns:mc="http://schemas.openxmlformats.org/markup-compatibility/2006" xmlns:a14="http://schemas.microsoft.com/office/drawing/2007/7/7/main" val="0000FF" mc:Ignorable=""/>
      </a:hlink>
      <a:folHlink>
        <a:srgbClr xmlns:mc="http://schemas.openxmlformats.org/markup-compatibility/2006" xmlns:a14="http://schemas.microsoft.com/office/drawing/2007/7/7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07/7/7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07/7/7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07/7/7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>
  <TotalTime>0</TotalTime>
  <Pages>10</Pages>
  <Words>3537</Words>
  <Characters>20163</Characters>
  <CharactersWithSpaces>23653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</cp:coreProperties>
</file>