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right"/>
        <w:textAlignment w:val="auto"/>
        <w:ind w:left="0" w:right="0" w:start="0" w:end="0"/>
        <w:adjustRightInd w:val="true"/>
        <w:spacing w:after="0" w:line="240"/>
        <w:bidi w:val="false"/>
        <w:tabs>
          <w:tab w:val="left" w:pos="7020"/>
        </w:tabs>
        <w:rPr>
          <w:rFonts w:ascii="Arial" w:eastAsia="Arial" w:hAnsi="Arial" w:cs="Arial"/>
          <w:sz w:val="20"/>
        </w:rPr>
      </w:pPr>
      <w:r>
        <w:rPr>
          <w:rFonts w:ascii="Arial" w:eastAsia="Arial" w:hAnsi="Arial" w:cs="Arial"/>
          <w:sz w:val="20"/>
        </w:rPr>
        <w:t xml:space="preserve">                                      </w:t>
      </w:r>
    </w:p>
    <w:p>
      <w:pPr>
        <w:jc w:val="center"/>
        <w:textAlignment w:val="auto"/>
        <w:ind w:left="4680" w:right="0" w:start="468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РОССИЙСКАЯ ФЕДЕРАЦИЯ</w:t>
      </w: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ОРЛОВСКАЯ ОБЛАСТЬ</w:t>
      </w:r>
    </w:p>
    <w:p>
      <w:pPr>
        <w:jc w:val="center"/>
        <w:textAlignment w:val="auto"/>
        <w:ind w:left="0" w:right="0" w:start="0" w:end="0"/>
        <w:adjustRightInd w:val="true"/>
        <w:spacing w:after="0" w:line="240"/>
        <w:bidi w:val="false"/>
        <w:pBdr>
          <w:bottom w:sz="12" w:space="1" w:val="single"/>
        </w:pBdr>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АДМИНИСТРАЦИЯ ТРОСНЯНСКОГО РАЙОНА</w:t>
      </w:r>
    </w:p>
    <w:p>
      <w:pPr>
        <w:jc w:val="left"/>
        <w:textAlignment w:val="auto"/>
        <w:ind w:left="0" w:right="0" w:start="0" w:end="0"/>
        <w:adjustRightInd w:val="true"/>
        <w:spacing w:after="0" w:line="240"/>
        <w:bidi w:val="false"/>
        <w:rPr>
          <w:rFonts w:ascii="Times New Roman" w:eastAsia="Times New Roman" w:hAnsi="Times New Roman" w:cs="Times New Roman"/>
          <w:sz w:val="20"/>
          <w:i w:val="true"/>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ПОСТАНОВЛЕНИЕ</w:t>
      </w:r>
    </w:p>
    <w:p>
      <w:pPr>
        <w:jc w:val="center"/>
        <w:textAlignment w:val="auto"/>
        <w:ind w:left="0" w:right="0" w:start="0" w:end="0"/>
        <w:adjustRightInd w:val="true"/>
        <w:spacing w:after="0" w:line="240"/>
        <w:bidi w:val="false"/>
        <w:rPr>
          <w:rFonts w:ascii="Times New Roman" w:eastAsia="Times New Roman" w:hAnsi="Times New Roman" w:cs="Times New Roman"/>
          <w:sz w:val="10"/>
          <w:i w:val="true"/>
        </w:rPr>
      </w:pPr>
    </w:p>
    <w:p>
      <w:pPr>
        <w:jc w:val="center"/>
        <w:textAlignment w:val="auto"/>
        <w:ind w:left="0" w:right="0" w:start="0" w:end="0"/>
        <w:adjustRightInd w:val="true"/>
        <w:spacing w:after="0" w:line="240"/>
        <w:bidi w:val="false"/>
        <w:rPr>
          <w:rFonts w:ascii="Times New Roman" w:eastAsia="Times New Roman" w:hAnsi="Times New Roman" w:cs="Times New Roman"/>
          <w:sz w:val="40"/>
        </w:rPr>
      </w:pPr>
    </w:p>
    <w:p>
      <w:pPr>
        <w:jc w:val="center"/>
        <w:textAlignment w:val="auto"/>
        <w:ind w:left="0" w:right="0" w:start="0" w:end="0"/>
        <w:adjustRightInd w:val="true"/>
        <w:spacing w:after="0" w:line="240"/>
        <w:bidi w:val="false"/>
        <w:rPr>
          <w:rFonts w:ascii="Times New Roman" w:eastAsia="Times New Roman" w:hAnsi="Times New Roman" w:cs="Times New Roman"/>
          <w:sz w:val="20"/>
        </w:rPr>
      </w:pP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от 2 ноября 2011 г.                                                                                                          №306</w:t>
      </w:r>
    </w:p>
    <w:p>
      <w:pPr>
        <w:jc w:val="left"/>
        <w:textAlignment w:val="auto"/>
        <w:ind w:left="0" w:right="0" w:start="0" w:end="0"/>
        <w:adjustRightInd w:val="true"/>
        <w:spacing w:after="0" w:line="240"/>
        <w:bidi w:val="false"/>
        <w:rPr>
          <w:rFonts w:ascii="Times New Roman" w:eastAsia="Times New Roman" w:hAnsi="Times New Roman" w:cs="Times New Roman"/>
          <w:sz w:val="20"/>
        </w:rPr>
      </w:pPr>
      <w:r>
        <w:rPr>
          <w:rFonts w:ascii="Times New Roman" w:eastAsia="Times New Roman" w:hAnsi="Times New Roman" w:cs="Times New Roman"/>
          <w:sz w:val="20"/>
        </w:rPr>
        <w:t xml:space="preserve">             с.Тросна</w:t>
      </w:r>
    </w:p>
    <w:p>
      <w:pPr>
        <w:jc w:val="left"/>
        <w:textAlignment w:val="auto"/>
        <w:ind w:left="0" w:right="0" w:start="0" w:end="0"/>
        <w:adjustRightInd w:val="true"/>
        <w:spacing w:after="0" w:line="240"/>
        <w:bidi w:val="false"/>
        <w:rPr>
          <w:rFonts w:ascii="Times New Roman" w:eastAsia="Times New Roman" w:hAnsi="Times New Roman" w:cs="Times New Roman"/>
          <w:sz w:val="20"/>
        </w:rPr>
      </w:pPr>
    </w:p>
    <w:p>
      <w:pPr>
        <w:jc w:val="left"/>
        <w:textAlignment w:val="auto"/>
        <w:ind w:left="0" w:right="0" w:start="0" w:end="0"/>
        <w:adjustRightInd w:val="true"/>
        <w:spacing w:after="0" w:line="240"/>
        <w:bidi w:val="false"/>
        <w:rPr>
          <w:rFonts w:ascii="Times New Roman" w:eastAsia="Times New Roman" w:hAnsi="Times New Roman" w:cs="Times New Roman"/>
          <w:sz w:val="20"/>
        </w:rPr>
      </w:pPr>
    </w:p>
    <w:p>
      <w:pPr>
        <w:jc w:val="left"/>
        <w:textAlignment w:val="auto"/>
        <w:ind w:left="0" w:right="0" w:start="0" w:end="0"/>
        <w:adjustRightInd w:val="true"/>
        <w:spacing w:after="0" w:line="240"/>
        <w:bidi w:val="false"/>
        <w:rPr>
          <w:rFonts w:ascii="Times New Roman" w:eastAsia="Times New Roman" w:hAnsi="Times New Roman" w:cs="Times New Roman"/>
          <w:sz w:val="20"/>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Об утверждении Положения</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 порядке включения в дислокацию</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объектов розничной продажи алкогольной</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продукции и выдачи выписки из дислокации </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объектов розничной продажи алкогольной продукции на</w:t>
      </w:r>
    </w:p>
    <w:p>
      <w:pPr>
        <w:jc w:val="left"/>
        <w:textAlignment w:val="auto"/>
        <w:ind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территории Троснянского района»</w:t>
      </w:r>
    </w:p>
    <w:p>
      <w:pPr>
        <w:jc w:val="left"/>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Законом Орловской области от 26 декабря 2005 года № 564-ОЗ "О государственном регулировании производства и оборота этилового спирта, алкогольной и спиртосодержащей продукции на территории Орловской области" постановляю:</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Положение "О порядке включения в Дислокацию объектов розничной продажи алкогольной продукции на территории Троснянского района и выдачи Выписки из Дислокации объектов розничной продажи алкогольной продукции на территории Троснянского района согласно приложению  1 к настоящему постановлению.</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Утвердить Порядок определения территорий, прилегающих к местам массового скопления граждан и местам нахождения источников повышенной опасности, согласно приложению  2 к настоящему постановлению.</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Утвердить Перечень мест массового скопления граждан и мест нахождения источников повышенной опасности согласно приложению  3 к настоящему постановлению.</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Утвердить единые формы:</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-Выписка из дислокации объектов розничной продажи алкогольной продукции  (Приложение 4).</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-Заявление на получение Выписки (Приложение 5)</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-Характеристика территориально-обособленного объекта (Приложение 6)</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 Постановление главы администрации от 17 февраля 2003 года №15 "Об обеспечении контроля за розничным оборотом алкогольной продукции на территории района" считать утратившим силу.</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Данное постановление вступает в силу с момента его официального обнародования.</w:t>
      </w:r>
    </w:p>
    <w:p>
      <w:pPr>
        <w:jc w:val="both"/>
        <w:textAlignment w:val="auto"/>
        <w:ind w:firstLine="720"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Контроль за исполнение настоящего постановления возложить на заместителя главы администрации Л.С.Борисову.</w:t>
      </w:r>
    </w:p>
    <w:p>
      <w:pPr>
        <w:jc w:val="both"/>
        <w:textAlignment w:val="auto"/>
        <w:ind w:firstLine="720" w:left="0" w:right="0" w:start="0" w:end="0"/>
        <w:adjustRightInd w:val="true"/>
        <w:spacing w:after="0" w:line="240"/>
        <w:bidi w:val="false"/>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Глава администрации                                                          А.И.Насонов</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2"/>
        </w:rPr>
      </w:pP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1 </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администрации </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Троснянского района </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02 ноября  2011 г. № 306</w:t>
      </w:r>
    </w:p>
    <w:p>
      <w:pPr>
        <w:jc w:val="right"/>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r>
        <w:rPr>
          <w:b w:val="true"/>
          <w:rFonts w:ascii="Times New Roman" w:eastAsia="Times New Roman" w:hAnsi="Times New Roman" w:cs="Times New Roman"/>
          <w:sz w:val="28"/>
        </w:rPr>
        <w:t xml:space="preserve">ПОЛОЖЕНИЕ</w:t>
      </w: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 ПОРЯДКЕ ВКЛЮЧЕНИЯ В ДИСЛОКАЦИЮ ОБЪЕКТОВ РОЗНИЧНОЙ</w:t>
      </w:r>
      <w:r>
        <w:rPr>
          <w:rFonts w:ascii="Times New Roman" w:eastAsia="Times New Roman" w:hAnsi="Times New Roman" w:cs="Times New Roman"/>
          <w:sz w:val="28"/>
        </w:rPr>
        <w:t xml:space="preserve"> </w:t>
      </w:r>
      <w:r>
        <w:rPr>
          <w:b w:val="true"/>
          <w:rFonts w:ascii="Times New Roman" w:eastAsia="Times New Roman" w:hAnsi="Times New Roman" w:cs="Times New Roman"/>
          <w:sz w:val="28"/>
        </w:rPr>
        <w:t xml:space="preserve">ПРОДАЖИ АЛКОГОЛЬНОЙ ПРОДУКЦИИ  И ВЫДАЧИ ВЫПИСКИ ИЗ ДИСЛОКАЦИИ ОБЪЕКТОВ РОЗНИЧНОЙ ПРОДАЖИ</w:t>
      </w:r>
      <w:r>
        <w:rPr>
          <w:rFonts w:ascii="Times New Roman" w:eastAsia="Times New Roman" w:hAnsi="Times New Roman" w:cs="Times New Roman"/>
          <w:sz w:val="28"/>
        </w:rPr>
        <w:t xml:space="preserve"> </w:t>
      </w:r>
      <w:r>
        <w:rPr>
          <w:b w:val="true"/>
          <w:rFonts w:ascii="Times New Roman" w:eastAsia="Times New Roman" w:hAnsi="Times New Roman" w:cs="Times New Roman"/>
          <w:sz w:val="28"/>
        </w:rPr>
        <w:t xml:space="preserve">АЛКОГОЛЬНОЙ ПРОДУКЦИИ НА ТЕРРИТОРИИ ТРОСНЯНСКОГО РАЙОНА</w:t>
      </w: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1. Общие положения</w:t>
      </w:r>
    </w:p>
    <w:p>
      <w:pPr>
        <w:jc w:val="both"/>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1.1. Настоящее Положение разработано 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Законом Орловской области от 26 декабря 2005 года № 564-ОЗ "О государственном регулировании производства и оборота этилового спирта, алкогольной и спиртосодержащей продукции на территории Орловской области" и регламентирует порядок внесения обособленных объектов розничной продажи алкогольной продукции на территории Троснянского района Орловской области в дислокацию объектов розничной продажи алкогольной продукции на территории Троснянского района (далее - Дислокация) и выдачи выписок из дислокации объектов розничной продажи алкогольной продукции на территории Троснянского района ( далее- Выписка)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1.2. Выдача Выписки из Дислокации объектов розничной продажи алкогольной продукции на территории Троснянского района хозяйствующим субъектам, осуществляющим розничную продажу алкогольной продукции, является процедурой подтверждения соответствия обособленных подразделений (территориально обособленных объектов) организации требованиям статей 6, 7 и пункта 3 части 1 статьи 11 Закона Орловской области № 564-ОЗ от 26.12.2005 "О государственном регулировании производства и оборота этилового спирта, алкогольной и спиртосодержащей продукции на территории Орловской области", а также соответствия их деятельности требованиям регламентирующего ее законодательства.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1.3. Выписка из дислокации объектов розничной продажи алкогольной продукции на территории Троснянского района выдается для получения хозяйствующим субъектом лицензии на право розничной продажи алкогольной продукции.</w:t>
      </w: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2. Включение предприятий торговли в Дислокацию объектов розничной продажи алкогольной продукции на территории Троснянского района</w:t>
      </w: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2.1. Включение предприятий торговли в Дислокацию осуществляется на основании принятой заявки, которая рассматривается  заместителем Главы администрации курирующим торговлю.</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2.2. Решение о включении в Дислокацию принимается  в 10-дневный срок с момента получения полного пакета документов при отсутствии претензий по предъявленным документам. В случае если для принятия решения требуется дополнительная экспертиза, решение принимается не позднее 30 дней со дня поступления заявки, о чем сообщается заявителю письменно. </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По заключению экспертизы принимается решение о выдаче согласования или об отказе введения торгового объекта  в общую дислокацию предприятий, занимающихся торговлей алкогольной продукцией. После устранения отмеченных недостатков вопрос о выдаче согласования может быть рассмотрен повторно. Срок действия согласования на получение лицензии на розничную продажу алкогольной продукции - три года.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3. Субъекты внесения в Дислокацию объектов розничной продажи алкогольной продукции на территории Троснянского района и получения Выписки из дислокации объектов розничной продажи алкогольной продукции Троснянского района</w:t>
      </w: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3.1. Субъектами внесения в Дислокацию объектов розничной продажи алкогольной продукции на территории Троснянского района и получения Выписки из дислокации объектов розничной продажи алкогольной продукции Троснянского района являются юридические лица, имеющие торговые объекты и осуществляющие розничную продажу алкогольной продукции.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3.2. При наличии у юридического лица нескольких обособленных торговых объектов внесение в Дислокацию и получение Выписки из Дислокации проводится по каждому из них.</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4. Дислокация объектов розничной продажи алкогольной продукции на территории Троснянского района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4.1. Дислокация объектов розничной продажи алкогольной продукции на территории Троснянского района является документом, подтверждающим соответствие расположения обособленных объектов розничной продажи алкогольной продукции требованиям, установленным статьями 6, 7 и пунктом 3 части 1 статьи 11 Закона Орловской области № 564-ОЗ от 26.12.2005 "О государственном регулировании производства и оборота этилового спирта, алкогольной и спиртосодержащей продукции на территории Орловской области".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4.2. Дислокация должна содержать следующие сведения об объектах:</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наименование, место нахождения, вид (тип) территориально обособленного объекта, а также иные сведения, позволяющие однозначно идентифицировать объект;</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принадлежность объекта к стационарной торговой сети;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места массового скопления и (или) места нахождения источников повышенной опасности на прилегающей территории, на которой расположен объект;</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рекомендуемое ограничение времени розничной продажи алкогольной продукции с содержанием этилового спирта более 15 процентов объема готовой продукции в соответствии со статьей 7 Закона Орловской области № 564-ОЗ от 26.12.2005 "О государственном регулировании производства и оборота этилового спирта, алкогольной и спиртосодержащей продукции на территории Орловской области";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рекомендуемый ассортимент алкогольной продукции.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4.3. Дислокация объектов розничной продажи алкогольной продукции на территории района утверждается главой администрации.</w:t>
      </w:r>
    </w:p>
    <w:p>
      <w:pPr>
        <w:jc w:val="both"/>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5. Перечень документов, представляемых хозяйствующим субъектом для внесения в Дислокацию объектов розничной продажи алкогольной продукции на территории Троснянского района.</w:t>
      </w:r>
    </w:p>
    <w:p>
      <w:pPr>
        <w:jc w:val="both"/>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5.1. Для внесения в Дислокацию соискатель представляет в администрацию следующие документы:</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а) заявление на имя главы администрации о внесении в Дислокацию объектов розничной продажи алкогольной продукции на территории района с указанием полного наименования и организационно-правовой формы юридического лица (организации), юридического адреса предприятия, вида деятельности ( приложение 5)</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б) копии документов о государственной регистрации юридического лица;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в) копии документов, подтверждающих законность пользования помещениями (собственность, аренда (копии документов, подтверждающих собственность арендодателя) и др.; для вновь введенных предприятий - копию акта приемочных комиссий о вводе данного объекта в эксплуатацию);</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г) характеристика торгового объекта с указанием наименования, типа предприятия, адреса местонахождения, удаленность объекта от мест массового скопления граждан и ассортиментного перечня алкогольной продукции; планируемый объем реализации алкогольной продукции ( приложение 6)</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д) копия документа о постановке организации на налоговый учет по месту нахождения объекта;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е) копии заключений специально уполномоченных государственных органов о соответствии торговых и складских помещений организации санитарно-эпидемиологическим и противопожарным нормам и требованиям;</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ж) копия документа, подтверждающего тип торгового предприятия;</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з) копия ассортиментного перечня, утвержденного ТУ по надзору в сфере защиты прав потребителей и благополучия человека по Орловской области.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5.2. Все предоставленные документы принимаются и регистрируются главным специалистом отдела экономики.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5.3. Требовать от заявителей представления других документов запрещается.</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5.4. Соискатели несут ответственность за достоверность представляемых сведений.</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5.5. При отсутствии полного пакета документов заявление к рассмотрению не принимается, отдел экономики не позднее одного дня с момента поступления полного пакета документов направляет материалы в отдел строительства, архитектуры и жилищно-коммунального хозяйства для получения заключения о расстоянии объектов торговли, где осуществляется продажа алкогольной продукции к местам массового скопления граждан и местам нахождения источников повышенной опасности в радиусе не менее двадцати метров ( по периметру здания).</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5.6 Отдел строительства, архитектуры и жилищно- коммунального хозяйства не позднее одного дня с момента получения документов, производит замер от входных дверей объекта торговли, где осуществляется продажа алкогольной продукции, до главного входа на ограниченный земельный участок объекта согласно приложения 3. </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r>
        <w:rPr>
          <w:b w:val="true"/>
          <w:rFonts w:ascii="Times New Roman" w:eastAsia="Times New Roman" w:hAnsi="Times New Roman" w:cs="Times New Roman"/>
          <w:sz w:val="28"/>
        </w:rPr>
        <w:t xml:space="preserve">6. Отказ во внесение в Дислокацию объектов розничной продажи алкогольной продукции на территории Троснянского района</w:t>
      </w:r>
    </w:p>
    <w:p>
      <w:pPr>
        <w:jc w:val="both"/>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6.1. Основанием для отказа во внесению в Дислокацию является:</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одного из документов, перечисленных в п. 4 настоящего Положения,</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несоответствие документов предъявляемым требованиям,</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обнаружение недостоверных данных в документах, представленных для внесения в дислокацию,</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установление несоответствия места расположения торгового объекта требованиям, установленным статьями 6, 7 и пунктом 3 части 1 статьи 11 Закона Орловской области № 564-ОЗ от 26.12.2005 "О государственном регулировании производства и оборота этилового спирта, алкогольной и спиртосодержащей продукции на территории Орловской области",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невыполнение соискателем предписаний или распоряжений государственных органов или приостановление ими в соответствии с законодательством РФ деятельности юридического лица, осуществляющего розничную продажу алкогольной продукции,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6.2. Решение об отказе по внесению в Дислокацию должно быть оформлено  в письменном виде.</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7. Ассортимент алкогольной продукции, устанавливаемый Дислокацией объектов розничной продажи алкогольной продукции на территории Троснянского района</w:t>
      </w: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7.1. Алкогольная продукция, в том числе водочная продукция.</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7.2 Алкогольная продукция с содержанием этилового спирта  более 15% объема готовой продукции.</w:t>
      </w:r>
    </w:p>
    <w:p>
      <w:pPr>
        <w:jc w:val="both"/>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8. Порядок получения Выписки из Дислокации объектов розничной продажи алкогольной продукции на территории Троснянского района</w:t>
      </w:r>
    </w:p>
    <w:p>
      <w:pPr>
        <w:jc w:val="both"/>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8.1. Выдача Выписки производится на заявительной основе.</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8.2. Выписка является документом, подтверждающим соответствие обособленных объектов организации требованиям статей 6, 7 и пункта 3 части 1 статьи 11 Закона Орловской области № 564-ОЗ от 26 декабря 2005 года "О государственном регулировании производства и оборота этилового спирта, спиртосодержащей и алкогольной продукции на территории Орловской области", и является неотъемлемой частью лицензии.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8.3. Выписка должна содержать:</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наименование органа, выдавшего его;</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полное наименование хозяйствующего субъекта с указанием его организационно-правовой формы; юридический адрес; место нахождения торговых объектов, указание вида деятельности; режим работы торгового объекта;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план реализации алкогольной продукции;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ассортиментный перечень реализуемой алкогольной продукции.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8.4. Выписка подписывается главой администрации района и заверяется печатью районной администрации.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8.5. Выписка не подлежит передаче другому лицу, ее действие не распространяется на других лиц, осуществляющих деятельность совместно с держателем выписки.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8.6. Форма выписки утверждена в приложении 4</w:t>
      </w: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9. Права и обязанности хозяйствующего субъекта</w:t>
      </w: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9.1. Хозяйствующий субъект обязан в своей деятельности руководствоваться законодательством РФ, нормативными актами Орловской области, настоящим Положением, соблюдать режим работы, утвержденный ассортиментный перечень, осуществлять благоустройство прилегающей к торговому объекту территории, обеспечить профессиональный уровень услуг.</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9.2. Держатель Выписки имеет право:</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ссылаться в рекламных и иных целях на имеющуюся у него Выписку,</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 проходить досрочную процедуру по внесению в Дислокацию и получению Выписки в случае изменения формы собственности.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2</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администрации </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Троснянского района </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02 ноября 2011 г. № 306</w:t>
      </w:r>
    </w:p>
    <w:p>
      <w:pPr>
        <w:jc w:val="both"/>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r>
        <w:rPr>
          <w:b w:val="true"/>
          <w:rFonts w:ascii="Times New Roman" w:eastAsia="Times New Roman" w:hAnsi="Times New Roman" w:cs="Times New Roman"/>
          <w:sz w:val="28"/>
        </w:rPr>
        <w:t xml:space="preserve">ПОРЯДОК</w:t>
      </w: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ОПРЕДЕЛЕНИЯ ТЕРРИТОРИЙ, ПРИЛЕГАЮЩИХ К МЕСТАМ</w:t>
      </w:r>
      <w:r>
        <w:rPr>
          <w:rFonts w:ascii="Times New Roman" w:eastAsia="Times New Roman" w:hAnsi="Times New Roman" w:cs="Times New Roman"/>
          <w:sz w:val="28"/>
        </w:rPr>
        <w:t xml:space="preserve"> </w:t>
      </w:r>
      <w:r>
        <w:rPr>
          <w:b w:val="true"/>
          <w:rFonts w:ascii="Times New Roman" w:eastAsia="Times New Roman" w:hAnsi="Times New Roman" w:cs="Times New Roman"/>
          <w:sz w:val="28"/>
        </w:rPr>
        <w:t xml:space="preserve">МАССОВОГО СКОПЛЕНИЯ ГРАЖДАН И МЕСТАМ НАХОЖДЕНИЯ</w:t>
      </w:r>
      <w:r>
        <w:rPr>
          <w:rFonts w:ascii="Times New Roman" w:eastAsia="Times New Roman" w:hAnsi="Times New Roman" w:cs="Times New Roman"/>
          <w:sz w:val="28"/>
        </w:rPr>
        <w:t xml:space="preserve"> </w:t>
      </w:r>
      <w:r>
        <w:rPr>
          <w:b w:val="true"/>
          <w:rFonts w:ascii="Times New Roman" w:eastAsia="Times New Roman" w:hAnsi="Times New Roman" w:cs="Times New Roman"/>
          <w:sz w:val="28"/>
        </w:rPr>
        <w:t xml:space="preserve">ИСТОЧНИКОВ ПОВЫШЕННОЙ ОПАСНОСТИ</w:t>
      </w: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В соответствии с Законом Орловской области № 564-ОЗ от 26 декабря 2005 г. "О государственном регулировании производства и оборота этилового спирта, алкогольной и спиртосодержащей продукции на территории Орловской области" настоящий порядок определяет основные требования к работе по определению территорий, прилегающих к местам массового скопления граждан и местам нахождения источников повышенной опасности (далее по тексту - прилегающие территории) района.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К местам массового скопления граждан и местам нахождения источников повышенной опасности относятся вокзалы, автовокзалы, автостанции, аэропорты, рынки (в том числе оптовые продовольственные рынки), парки и зоны отдыха, объекты военного назначения, детские, образовательные, медицинские организации, культовые учреждения, организации культуры, физкультурно-оздоровительные и спортивные сооружения, автозаправочные станции, а также другие объекты и территории массового скопления граждан и нахождения источников повышенной опасности.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Прилегающей территорией считается территория, прилегающая к местам массового скопления граждан и местам нахождения источников повышенной опасности в радиусе не менее двадцати метров (по периметру здания).Расстояние между объектами торговли и местами массового скопления граждан, а также местами нахождения источников повышенной опасности определяется отделом архитектуры строительства и жилищно-коммунального хозяйства администрации района.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Не допускается розничная продажа алкогольной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Не допускается розничная продажа алкогольной продукции 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и на прилегающих к ним территориях, а также в ларьках, киосках, палатках, контейнерах, с рук, лотков, автомашин, на автозаправочных станциях в других, не приспособленных для продажи данной продукции, местах.</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 3</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к постановлению администрации </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Троснянского района      </w:t>
      </w:r>
    </w:p>
    <w:p>
      <w:pPr>
        <w:jc w:val="right"/>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от 02 ноября 2011 г. № 306</w:t>
      </w:r>
    </w:p>
    <w:p>
      <w:pPr>
        <w:jc w:val="right"/>
        <w:textAlignment w:val="auto"/>
        <w:ind w:firstLine="709" w:left="0" w:right="0" w:start="0" w:end="0"/>
        <w:adjustRightInd w:val="true"/>
        <w:spacing w:after="0" w:line="240"/>
        <w:bidi w:val="false"/>
        <w:rPr>
          <w:b w:val="true"/>
          <w:rFonts w:ascii="Times New Roman" w:eastAsia="Times New Roman" w:hAnsi="Times New Roman" w:cs="Times New Roman"/>
          <w:sz w:val="28"/>
        </w:rPr>
      </w:pP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r>
        <w:rPr>
          <w:b w:val="true"/>
          <w:rFonts w:ascii="Times New Roman" w:eastAsia="Times New Roman" w:hAnsi="Times New Roman" w:cs="Times New Roman"/>
          <w:sz w:val="28"/>
        </w:rPr>
        <w:t xml:space="preserve">ПЕРЕЧЕНЬ</w:t>
      </w:r>
    </w:p>
    <w:p>
      <w:pPr>
        <w:jc w:val="center"/>
        <w:textAlignment w:val="auto"/>
        <w:ind w:firstLine="709" w:left="0" w:right="0" w:start="0" w:end="0"/>
        <w:adjustRightInd w:val="true"/>
        <w:spacing w:after="0"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МЕСТ МАССОВОГО СКОПЛЕНИЯ ГРАЖДАН И МЕСТ НАХОЖДЕНИЯ ИСТОЧНИКОВ ПОВЫШЕННОЙ ОПАСНОСТИ</w:t>
      </w:r>
    </w:p>
    <w:p>
      <w:pPr>
        <w:jc w:val="center"/>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 Общеобразовательные учреждения района.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2. Дошкольные образовательные учреждения района.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3. Учреждения здравоохранения, медицины.</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4. Учреждения культуры.</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5. Физкультурно-оздоровительные и спортивные сооружения.</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6. Парки и зоны отдыха.</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7. Автостанция.</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8. Ярмарочная площадь.</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9. Автобусные остановки.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r>
        <w:rPr>
          <w:rFonts w:ascii="Times New Roman" w:eastAsia="Times New Roman" w:hAnsi="Times New Roman" w:cs="Times New Roman"/>
          <w:sz w:val="28"/>
        </w:rPr>
        <w:t xml:space="preserve">10. Автозаправочные станции.</w:t>
      </w: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4 </w:t>
      </w: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постановлению администрации </w:t>
      </w: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от 02 ноября  2011 г. № 306</w:t>
      </w:r>
    </w:p>
    <w:p>
      <w:pPr>
        <w:jc w:val="left"/>
        <w:textAlignment w:val="auto"/>
        <w:ind w:left="0" w:right="0" w:start="0" w:end="0"/>
        <w:adjustRightInd w:val="true"/>
        <w:spacing w:before="100" w:after="100" w:beforeAutospacing="1" w:afterAutospacing="1" w:line="240"/>
        <w:bidi w:val="false"/>
        <w:rPr>
          <w:b w:val="true"/>
          <w:rFonts w:ascii="Times New Roman" w:eastAsia="Times New Roman" w:hAnsi="Times New Roman" w:cs="Times New Roman"/>
          <w:sz w:val="28"/>
        </w:rPr>
      </w:pPr>
      <w:r>
        <w:rPr>
          <w:b w:val="true"/>
          <w:rFonts w:ascii="Times New Roman" w:eastAsia="Times New Roman" w:hAnsi="Times New Roman" w:cs="Times New Roman"/>
          <w:sz w:val="28"/>
        </w:rPr>
        <w:t xml:space="preserve">Выписка из Дислокации объектов розничной продажи алкогольной продукции на территории Троснянского района</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0"/>
        </w:rPr>
      </w:pPr>
      <w:r>
        <w:rPr>
          <w:rFonts w:ascii="Times New Roman" w:eastAsia="Times New Roman" w:hAnsi="Times New Roman" w:cs="Times New Roman"/>
          <w:sz w:val="24"/>
        </w:rPr>
        <w:t xml:space="preserve">выдана: _____________________________________________________</w:t>
      </w:r>
      <w:r>
        <w:rPr>
          <w:rFonts w:ascii="Times New Roman" w:eastAsia="Times New Roman" w:hAnsi="Times New Roman" w:cs="Times New Roman"/>
          <w:sz w:val="20"/>
        </w:rPr>
        <w:t xml:space="preserve">  </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0"/>
        </w:rPr>
        <w:t xml:space="preserve">(сокращенное наименование организации )</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юридический адрес: 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руководитель: _________________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тип и место нахождения торгового объекта: _____________________________________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вид деятельности: розничная продажа алкогольной продукции</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режим работы торгового объекта______________________________________________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работников______________________________________________________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рекомендуемое время продажи алкогольной продукции: __________________________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план реализации алкогольной продукции (дкл в месяц): 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ассортиментный перечень алкогольной продукции:__________________________________________________________________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срок действия выписки на получение лицензии на осуществление розничной продажи алкогольной продукции: _____________________________________________________</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Настоящая "Выписка" является документом, подтверждающим соответствие обособленного подразделения (территориально обособленного объекта) организации требованиям статьи 16 ФЗ от 22 ноября 1995г.г. № 171-ФЗ "О государственном регулировании производства и оборота этилового спирта, алкогольной и спиртосодержащей продукции" и статей 6, 7 и пункта 3 части 1 статьи 11 Закона Орловской области от 26 декабря 2005г. № 564-ОЗ "О государственном регулировании производства и оборота этилового спирта, алкогольной и спиртосодержащей продукции на территории Орловской области". В соответствии с п.4 ст.6 Закона Орловской области № 564-ОЗ территориально обособленный объект включен в дислокацию объектов розничной продажи алкогольной продукции, расположенных на территории Троснянского района Орловской области.</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Глава администрации Троснянского района                                          А.И.Насонов</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5</w:t>
      </w: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к постановлению администрации</w:t>
      </w: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От 02 ноября 2011 г. № 306</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              На основании Закона Орловской области от 26 декабря 2005г. N 564-ОЗ "О государственном регулировании производства и оборота этилового спирта, алкогольной и спиртосодержащей продукции на территории Орловской области",  прошу выдать Выписку из Дислокации объектов розничной продажи алкогольной продукции на территории Троснянского района Орловской области </w:t>
      </w: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на срок __________________начиная с ___________________________________________</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Свидетельство о регистрации юридического лица: серия 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 от 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выдано _____________________________________________________________________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местонахождение организации_________________________________________________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(юридический адрес заявителя)________________________________________________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почтовый адрес организации__________________________________________________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___________________________________________________________________</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С условиями и требованиями осуществления розничной продажи алкогольной продукции, действующим законодательством, правилами и положениями, регулирующими осуществление данного вида деятельности, знаком и обязуюсь выполнять:</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                          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(Ф. И.О.заявителя)                                    М.П.         (подпись)</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Дата представления "______"____________ 20____г.</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(Обратная сторона заявки на получение Выписки)</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прилагаемых к заявке документов:</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1) характеристика территориально обособленного объекта торговли установленной формы ( Приложение 6)</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2) копия устава организации;</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3) копия Свидетельства о постановке на учет юридического лица в налоговом органе;</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4) копии документов, подтверждающих право использования помещений (свидетельство о праве собственности, техпаспорт, договор аренды);</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5) копии документов, подтверждающих право пользования земельным участком (свидетельство о праве собственности, договор аренды и др.);</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6) заключения специально уполномоченных государственных органов о соответствии торговых и складских помещений территориально обособленных объектов санитарно-эпидемиологическим и противопожарным нормам и требованиям.</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Предоставляемые документы возврату не подлежат и хранятся в течение 3 лет, затем подлежат уничтожению.</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righ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6</w:t>
      </w:r>
    </w:p>
    <w:p>
      <w:pPr>
        <w:jc w:val="righ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к постановлению администрации</w:t>
      </w:r>
    </w:p>
    <w:p>
      <w:pPr>
        <w:jc w:val="righ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Троснянского района</w:t>
      </w:r>
    </w:p>
    <w:p>
      <w:pPr>
        <w:jc w:val="righ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От02 ноября 2011 г. №306</w:t>
      </w:r>
    </w:p>
    <w:p>
      <w:pPr>
        <w:jc w:val="righ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Главе администрации   Троснянского района</w:t>
      </w:r>
    </w:p>
    <w:p>
      <w:pPr>
        <w:jc w:val="righ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w:t>
      </w:r>
    </w:p>
    <w:p>
      <w:pPr>
        <w:jc w:val="righ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от____________________________________</w:t>
      </w:r>
    </w:p>
    <w:p>
      <w:pPr>
        <w:jc w:val="left"/>
        <w:textAlignment w:val="auto"/>
        <w:ind w:left="0" w:right="0" w:start="0" w:end="0"/>
        <w:adjustRightInd w:val="true"/>
        <w:spacing w:before="100" w:after="100" w:beforeAutospacing="1" w:afterAutospacing="1" w:line="240"/>
        <w:bidi w:val="false"/>
        <w:tabs>
          <w:tab w:val="left" w:pos="6148"/>
          <w:tab w:val="right" w:pos="9354"/>
        </w:tabs>
        <w:rPr>
          <w:rFonts w:ascii="Times New Roman" w:eastAsia="Times New Roman" w:hAnsi="Times New Roman" w:cs="Times New Roman"/>
          <w:sz w:val="24"/>
        </w:rPr>
      </w:pPr>
      <w:r>
        <w:rPr>
          <w:rFonts w:ascii="Times New Roman" w:eastAsia="Times New Roman" w:hAnsi="Times New Roman" w:cs="Times New Roman"/>
          <w:sz w:val="20"/>
        </w:rPr>
        <w:tab/>
      </w:r>
      <w:r>
        <w:rPr>
          <w:rFonts w:ascii="Times New Roman" w:eastAsia="Times New Roman" w:hAnsi="Times New Roman" w:cs="Times New Roman"/>
          <w:sz w:val="20"/>
        </w:rPr>
        <w:t xml:space="preserve">(наименование организации)</w:t>
      </w:r>
    </w:p>
    <w:p>
      <w:pPr>
        <w:jc w:val="center"/>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Характеристика территориально обособленного объекта торговли</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__________________________________________________________________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(сокращенное наименование организации)</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вид (тип) объекта, наименование:_______________________________________________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стационарный (временный) объект______________________________________________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ассортимент алкогольной продукции (нужное подчеркнуть):</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 все виды алкогольной продукции;</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 алкогольная продукция с содержанием этилового спирта  более 15 % объема готовой продукции;</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адрес объекта:________________________________________________________________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телефон:_____________________________________________________________________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время продажи алкогольной продукции__________________________________________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Общая площадь объекта (кв.м):_____________ , в том числе: _______________________ ,</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(торговый зал )__________________________ ,  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(складские помещения)                      ( административно-бытовое)</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Руководитель (ответственное лицо) объекта______________________________________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Принадлежность площадей занимаемых объектом 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rPr>
      </w:pPr>
      <w:r>
        <w:rPr>
          <w:rFonts w:ascii="Times New Roman" w:eastAsia="Times New Roman" w:hAnsi="Times New Roman" w:cs="Times New Roman"/>
          <w:sz w:val="20"/>
        </w:rPr>
        <w:t xml:space="preserve">                                                                                                                        (собственная, арендованная)</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Арендодатель_______________________________________________________________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rPr>
      </w:pPr>
      <w:r>
        <w:rPr>
          <w:rFonts w:ascii="Times New Roman" w:eastAsia="Times New Roman" w:hAnsi="Times New Roman" w:cs="Times New Roman"/>
          <w:sz w:val="20"/>
        </w:rPr>
        <w:t xml:space="preserve">                                                                          (организация, физическое лицо)</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Наличие мест повышенной опасности (вокзалы, автовокзалы, автостанции, аэропорты, рынки (в том числе оптовые продовольственные рынки), парки и зоны отдыха, объекты военного назначения, детские, образовательные, медицинские организации, культовые учреждения, организации культуры, физкультурно-оздоровительные и спортивные сооружения и прилегающие к ним территории), на допустимом расстоянии к которым расположен объект: _________________________________________________________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Наличие охранной сигнализации: ______________________________________________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Наличие сейфа для хранения документов и денег_________________________________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Наличие инженерных коммуникаций____________________________________________</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Достоверность представленных сведений подтверждаю:</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Подпись заявителя __________________</w:t>
      </w: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p>
    <w:p>
      <w:pPr>
        <w:jc w:val="left"/>
        <w:textAlignment w:val="auto"/>
        <w:ind w:left="0" w:right="0" w:start="0" w:end="0"/>
        <w:adjustRightInd w:val="true"/>
        <w:spacing w:before="100" w:after="100" w:beforeAutospacing="1" w:afterAutospacing="1"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М.П.</w:t>
      </w: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after="0" w:line="240"/>
        <w:bidi w:val="fal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rPr>
      </w:pPr>
    </w:p>
    <w:p>
      <w:pPr>
        <w:jc w:val="left"/>
        <w:textAlignment w:val="auto"/>
        <w:ind w:left="0" w:right="0" w:start="0" w:end="0"/>
        <w:adjustRightInd w:val="true"/>
        <w:spacing w:before="100" w:after="100" w:beforeAutospacing="1" w:afterAutospacing="1" w:line="240"/>
        <w:bidi w:val="false"/>
        <w:rPr>
          <w:rFonts w:ascii="Times New Roman" w:eastAsia="Times New Roman" w:hAnsi="Times New Roman" w:cs="Times New Roman"/>
          <w:sz w:val="24"/>
        </w:rPr>
      </w:pPr>
    </w:p>
    <w:p>
      <w:pPr>
        <w:jc w:val="both"/>
        <w:textAlignment w:val="auto"/>
        <w:ind w:firstLine="709" w:left="0" w:right="0" w:start="0" w:end="0"/>
        <w:adjustRightInd w:val="true"/>
        <w:spacing w:after="0" w:line="240"/>
        <w:bidi w:val="false"/>
        <w:rPr>
          <w:rFonts w:ascii="Times New Roman" w:eastAsia="Times New Roman" w:hAnsi="Times New Roman" w:cs="Times New Roman"/>
          <w:sz w:val="28"/>
        </w:rPr>
      </w:pPr>
    </w:p>
    <w:p>
      <w:pPr>
        <w:jc w:val="both"/>
        <w:textAlignment w:val="auto"/>
        <w:ind w:firstLine="709" w:left="0" w:right="0" w:start="0" w:end="0"/>
        <w:adjustRightInd w:val="true"/>
        <w:spacing w:after="0" w:line="240"/>
        <w:bidi w:val="false"/>
        <w:rPr>
          <w:rFonts w:ascii="Arial" w:eastAsia="Arial" w:hAnsi="Arial" w:cs="Arial"/>
          <w:sz w:val="24"/>
        </w:rPr>
      </w:pPr>
    </w:p>
    <w:sectPr>
      <w:cols w:num="1" w:space="708" w:equalWidth="true"/>
      <w:footnotePr>
        <w:pos w:val="pageBottom"/>
      </w:footnotePr>
      <w:lnNumType w:distance="0"/>
      <w:pgSz w:w="11906" w:h="16838"/>
      <w:pgMar w:left="1701" w:right="851" w:top="899" w:bottom="1134" w:gutter="0" w:header="709" w:footer="709"/>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separator/>
      </w:r>
    </w:p>
  </w:endnote>
  <w:endnote w:type="continuationSeparator" w:id="1">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Cambria Math">
    <w:panose1 w:val="02040503050406030204"/>
    <w:family w:val="roman"/>
    <w:charset w:val="CC"/>
    <w:pitch w:val="variable"/>
  </w:font>
  <w:font w:name="Tahoma">
    <w:panose1 w:val="020b0604030504040204"/>
    <w:family w:val="swiss"/>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separator/>
      </w:r>
    </w:p>
  </w:footnote>
  <w:footnote w:type="continuationSeparator" w:id="1">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15</Pages>
  <Words>3551</Words>
  <Characters>20242</Characters>
  <CharactersWithSpaces>23746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Юрист</dc:creator>
</cp:coreProperties>
</file>