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officeDocument" Target="word/document.xml"/><Relationship Id="rId8" Type="http://schemas.openxmlformats.org/officeDocument/2006/relationships/extended-properties" Target="docProps/app.xml"/><Relationship Id="rId9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v="urn:schemas-microsoft-com:vml" xmlns:o="urn:schemas-microsoft-com:office:office" xmlns:wp="http://schemas.openxmlformats.org/drawingml/2006/wordprocessingDrawing" xmlns:m="http://schemas.openxmlformats.org/officeDocument/2006/math" xmlns:w10="urn:schemas-microsoft-com:office:word" xmlns:a="http://schemas.openxmlformats.org/drawingml/2006/main">
  <w:body>
    <w:tbl>
      <w:tblPr>
        <w:tblLayout w:type="autofit"/>
        <w:tblInd w:w="108" w:type="dxa"/>
        <w:tblW w:w="0" w:type="auto"/>
        <w:tblCellMar>
          <w:bottom w:w="0" w:type="dxa"/>
          <w:left w:w="108" w:type="dxa"/>
          <w:right w:w="108" w:type="dxa"/>
          <w:top w:w="0" w:type="dxa"/>
        </w:tblCellMar>
        <w:tblBorders>
          <w:left w:sz="0" w:space="0" w:val="nil"/>
          <w:right w:sz="0" w:space="0" w:val="nil"/>
          <w:top w:sz="0" w:space="0" w:val="nil"/>
          <w:bottom w:sz="0" w:space="0" w:val="nil"/>
          <w:insideV w:sz="0" w:space="0" w:val="nil"/>
          <w:insideH w:sz="0" w:space="0" w:val="nil"/>
        </w:tblBorders>
      </w:tblPr>
      <w:tblGrid>
        <w:gridCol w:w="4860"/>
        <w:gridCol w:w="4500"/>
      </w:tblGrid>
      <w:tr>
        <w:tc>
          <w:tcPr>
            <w:tcW w:type="dxa" w:w="4860"/>
            <w:shd w:val="nil"/>
            <w:vAlign w:val="top"/>
            <w:textDirection w:val="lrTb"/>
            <w:gridSpan w:val="1"/>
          </w:tcPr>
          <w:p>
            <w:pPr>
              <w:outlineLvl w:val="0"/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type="dxa" w:w="4500"/>
            <w:shd w:val="nil"/>
            <w:vAlign w:val="top"/>
            <w:textDirection w:val="lrTb"/>
            <w:gridSpan w:val="1"/>
          </w:tcPr>
          <w:p>
            <w:pPr>
              <w:outlineLvl w:val="0"/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Приложение 4</w:t>
            </w:r>
          </w:p>
          <w:p>
            <w:pPr>
              <w:outlineLvl w:val="0"/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  положению </w:t>
            </w:r>
          </w:p>
          <w:p>
            <w:pPr>
              <w:outlineLvl w:val="0"/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>
      <w:pPr>
        <w:jc w:val="righ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  <w:highlight w:val="red"/>
        </w:rPr>
      </w:pPr>
    </w:p>
    <w:p>
      <w:pPr>
        <w:jc w:val="righ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  <w:highlight w:val="red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Тарифные разряды, межразрядные тарифные коэффициенты </w:t>
      </w:r>
      <w:r>
        <w:rPr>
          <w:rFonts w:ascii="Times New Roman" w:eastAsia="Times New Roman" w:hAnsi="Times New Roman" w:cs="Times New Roman"/>
          <w:sz w:val="28"/>
        </w:rPr>
        <w:br w:type="textWrapping" w:clear="none"/>
      </w:r>
      <w:r>
        <w:rPr>
          <w:rFonts w:ascii="Times New Roman" w:eastAsia="Times New Roman" w:hAnsi="Times New Roman" w:cs="Times New Roman"/>
          <w:sz w:val="28"/>
        </w:rPr>
        <w:t xml:space="preserve">и тарифные ставки по разрядам тарифной сетки рабочих, </w:t>
      </w:r>
      <w:r>
        <w:rPr>
          <w:rFonts w:ascii="Times New Roman" w:eastAsia="Times New Roman" w:hAnsi="Times New Roman" w:cs="Times New Roman"/>
          <w:sz w:val="28"/>
        </w:rPr>
        <w:br w:type="textWrapping" w:clear="none"/>
      </w:r>
      <w:r>
        <w:rPr>
          <w:rFonts w:ascii="Times New Roman" w:eastAsia="Times New Roman" w:hAnsi="Times New Roman" w:cs="Times New Roman"/>
          <w:sz w:val="28"/>
        </w:rPr>
        <w:t xml:space="preserve">единые для всех образовательных учреждений 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Тарифная ставка  обслуживающего персонала образовательного учреждения определяется по следующей формуле:</w:t>
      </w: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Ооп = Б х Коп, где:</w:t>
      </w: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Ооп – тарифная ставка обслуживающего персонала;</w:t>
      </w: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 – базовая единица;</w:t>
      </w: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Коп – тарифный коэффициент к должностным окладам по должностям работников из числа обсуживающего персонала образовательного учреждения, значения которых приведены в </w:t>
      </w:r>
      <w:hyperlink r:id="rId2">
        <w:r>
          <w:rPr>
            <w:rFonts w:ascii="Times New Roman" w:eastAsia="Times New Roman" w:hAnsi="Times New Roman" w:cs="Times New Roman"/>
            <w:sz w:val="28"/>
          </w:rPr>
          <w:t xml:space="preserve">таблице 1.</w:t>
        </w:r>
      </w:hyperlink>
    </w:p>
    <w:p>
      <w:pPr>
        <w:jc w:val="righ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Таблица 1</w:t>
      </w:r>
    </w:p>
    <w:tbl>
      <w:tblPr>
        <w:tblLayout w:type="fixed"/>
        <w:tblInd w:w="40" w:type="dxa"/>
        <w:tblW w:w="9360" w:type="dxa"/>
        <w:tblCellMar>
          <w:bottom w:w="0" w:type="dxa"/>
          <w:left w:w="40" w:type="dxa"/>
          <w:right w:w="40" w:type="dxa"/>
          <w:top w:w="0" w:type="dxa"/>
        </w:tblCellMar>
        <w:tblBorders>
          <w:left w:sz="0" w:space="0" w:val="nil"/>
          <w:right w:sz="0" w:space="0" w:val="nil"/>
          <w:top w:sz="0" w:space="0" w:val="nil"/>
          <w:bottom w:sz="0" w:space="0" w:val="nil"/>
          <w:insideV w:sz="0" w:space="0" w:val="nil"/>
          <w:insideH w:sz="0" w:space="0" w:val="nil"/>
        </w:tblBorders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Height w:val="166" w:hRule="atLeast"/>
        <w:tc>
          <w:tcPr>
            <w:tcW w:type="dxa" w:w="936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0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color w:val="000000"/>
              </w:rPr>
              <w:t xml:space="preserve">Разряд оплаты труда</w:t>
            </w:r>
          </w:p>
        </w:tc>
      </w:tr>
      <w:tr>
        <w:trHeight w:val="466" w:hRule="atLeast"/>
        <w:tc>
          <w:tcPr>
            <w:tcW w:type="dxa" w:w="936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color w:val="000000"/>
              </w:rPr>
              <w:t xml:space="preserve">1</w:t>
            </w:r>
          </w:p>
        </w:tc>
        <w:tc>
          <w:tcPr>
            <w:tcW w:type="dxa" w:w="936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color w:val="000000"/>
              </w:rPr>
              <w:t xml:space="preserve">2</w:t>
            </w:r>
          </w:p>
        </w:tc>
        <w:tc>
          <w:tcPr>
            <w:tcW w:type="dxa" w:w="936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color w:val="000000"/>
              </w:rPr>
              <w:t xml:space="preserve">3</w:t>
            </w:r>
          </w:p>
        </w:tc>
        <w:tc>
          <w:tcPr>
            <w:tcW w:type="dxa" w:w="936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color w:val="000000"/>
              </w:rPr>
              <w:t xml:space="preserve">4</w:t>
            </w:r>
          </w:p>
        </w:tc>
        <w:tc>
          <w:tcPr>
            <w:tcW w:type="dxa" w:w="936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color w:val="000000"/>
              </w:rPr>
              <w:t xml:space="preserve">5</w:t>
            </w:r>
          </w:p>
        </w:tc>
        <w:tc>
          <w:tcPr>
            <w:tcW w:type="dxa" w:w="936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color w:val="000000"/>
              </w:rPr>
              <w:t xml:space="preserve">6</w:t>
            </w:r>
          </w:p>
        </w:tc>
        <w:tc>
          <w:tcPr>
            <w:tcW w:type="dxa" w:w="936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color w:val="000000"/>
              </w:rPr>
              <w:t xml:space="preserve">7</w:t>
            </w:r>
          </w:p>
        </w:tc>
        <w:tc>
          <w:tcPr>
            <w:tcW w:type="dxa" w:w="936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color w:val="000000"/>
              </w:rPr>
              <w:t xml:space="preserve">8</w:t>
            </w:r>
          </w:p>
        </w:tc>
        <w:tc>
          <w:tcPr>
            <w:tcW w:type="dxa" w:w="936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color w:val="000000"/>
              </w:rPr>
              <w:t xml:space="preserve">9</w:t>
            </w:r>
          </w:p>
        </w:tc>
        <w:tc>
          <w:tcPr>
            <w:tcW w:type="dxa" w:w="936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color w:val="000000"/>
              </w:rPr>
              <w:t xml:space="preserve">10</w:t>
            </w:r>
          </w:p>
        </w:tc>
      </w:tr>
      <w:tr>
        <w:trHeight w:val="131" w:hRule="atLeast"/>
        <w:tc>
          <w:tcPr>
            <w:tcW w:type="dxa" w:w="936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0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color w:val="000000"/>
              </w:rPr>
              <w:t xml:space="preserve">Тарифный коэффициент</w:t>
            </w:r>
          </w:p>
        </w:tc>
      </w:tr>
      <w:tr>
        <w:trHeight w:val="461" w:hRule="atLeast"/>
        <w:tc>
          <w:tcPr>
            <w:tcW w:type="dxa" w:w="936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color w:val="000000"/>
              </w:rPr>
              <w:t xml:space="preserve">1,0</w:t>
            </w:r>
          </w:p>
        </w:tc>
        <w:tc>
          <w:tcPr>
            <w:tcW w:type="dxa" w:w="936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color w:val="000000"/>
              </w:rPr>
              <w:t xml:space="preserve">1,07</w:t>
            </w:r>
          </w:p>
        </w:tc>
        <w:tc>
          <w:tcPr>
            <w:tcW w:type="dxa" w:w="936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color w:val="000000"/>
              </w:rPr>
              <w:t xml:space="preserve">1,14</w:t>
            </w:r>
          </w:p>
        </w:tc>
        <w:tc>
          <w:tcPr>
            <w:tcW w:type="dxa" w:w="936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color w:val="000000"/>
              </w:rPr>
              <w:t xml:space="preserve">1,21</w:t>
            </w:r>
          </w:p>
        </w:tc>
        <w:tc>
          <w:tcPr>
            <w:tcW w:type="dxa" w:w="936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color w:val="000000"/>
              </w:rPr>
              <w:t xml:space="preserve">1,28</w:t>
            </w:r>
          </w:p>
        </w:tc>
        <w:tc>
          <w:tcPr>
            <w:tcW w:type="dxa" w:w="936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color w:val="000000"/>
              </w:rPr>
              <w:t xml:space="preserve">1,35</w:t>
            </w:r>
          </w:p>
        </w:tc>
        <w:tc>
          <w:tcPr>
            <w:tcW w:type="dxa" w:w="936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color w:val="000000"/>
              </w:rPr>
              <w:t xml:space="preserve">1,42</w:t>
            </w:r>
          </w:p>
        </w:tc>
        <w:tc>
          <w:tcPr>
            <w:tcW w:type="dxa" w:w="936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color w:val="000000"/>
              </w:rPr>
              <w:t xml:space="preserve">1,6</w:t>
            </w:r>
          </w:p>
        </w:tc>
        <w:tc>
          <w:tcPr>
            <w:tcW w:type="dxa" w:w="936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color w:val="000000"/>
              </w:rPr>
              <w:t xml:space="preserve">1, 7</w:t>
            </w:r>
          </w:p>
        </w:tc>
        <w:tc>
          <w:tcPr>
            <w:tcW w:type="dxa" w:w="936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color w:val="000000"/>
              </w:rPr>
              <w:t xml:space="preserve">1,75</w:t>
            </w:r>
          </w:p>
        </w:tc>
      </w:tr>
      <w:tr>
        <w:trHeight w:val="59" w:hRule="atLeast"/>
        <w:tc>
          <w:tcPr>
            <w:tcW w:type="dxa" w:w="936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0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color w:val="000000"/>
              </w:rPr>
              <w:t xml:space="preserve">Тарифные ставки</w:t>
            </w:r>
          </w:p>
        </w:tc>
      </w:tr>
      <w:tr>
        <w:trHeight w:val="437" w:hRule="atLeast"/>
        <w:tc>
          <w:tcPr>
            <w:tcW w:type="dxa" w:w="936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color w:val="000000"/>
              </w:rPr>
              <w:t xml:space="preserve">2300</w:t>
            </w:r>
          </w:p>
        </w:tc>
        <w:tc>
          <w:tcPr>
            <w:tcW w:type="dxa" w:w="936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color w:val="000000"/>
              </w:rPr>
              <w:t xml:space="preserve">2461</w:t>
            </w:r>
          </w:p>
        </w:tc>
        <w:tc>
          <w:tcPr>
            <w:tcW w:type="dxa" w:w="936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color w:val="000000"/>
              </w:rPr>
              <w:t xml:space="preserve">2622</w:t>
            </w:r>
          </w:p>
        </w:tc>
        <w:tc>
          <w:tcPr>
            <w:tcW w:type="dxa" w:w="936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color w:val="000000"/>
              </w:rPr>
              <w:t xml:space="preserve">2783</w:t>
            </w:r>
          </w:p>
        </w:tc>
        <w:tc>
          <w:tcPr>
            <w:tcW w:type="dxa" w:w="936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color w:val="000000"/>
              </w:rPr>
              <w:t xml:space="preserve">2944</w:t>
            </w:r>
          </w:p>
        </w:tc>
        <w:tc>
          <w:tcPr>
            <w:tcW w:type="dxa" w:w="936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color w:val="000000"/>
              </w:rPr>
              <w:t xml:space="preserve">3105</w:t>
            </w:r>
          </w:p>
        </w:tc>
        <w:tc>
          <w:tcPr>
            <w:tcW w:type="dxa" w:w="936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color w:val="000000"/>
              </w:rPr>
              <w:t xml:space="preserve">3266</w:t>
            </w:r>
          </w:p>
        </w:tc>
        <w:tc>
          <w:tcPr>
            <w:tcW w:type="dxa" w:w="936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color w:val="000000"/>
              </w:rPr>
              <w:t xml:space="preserve">3680</w:t>
            </w:r>
          </w:p>
        </w:tc>
        <w:tc>
          <w:tcPr>
            <w:tcW w:type="dxa" w:w="936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color w:val="000000"/>
              </w:rPr>
              <w:t xml:space="preserve">3910</w:t>
            </w:r>
          </w:p>
        </w:tc>
        <w:tc>
          <w:tcPr>
            <w:tcW w:type="dxa" w:w="936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color w:val="000000"/>
              </w:rPr>
              <w:t xml:space="preserve">4025</w:t>
            </w:r>
          </w:p>
        </w:tc>
      </w:tr>
    </w:tbl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Профессии обслуживающего персонала образовательного учреждения тарифицируются в соответствии с Единым тарифно-квалификационным справочником работ и профессий рабочих, утвержденным постановлением Правительства Российской Федерации.</w:t>
      </w:r>
    </w:p>
    <w:p>
      <w:pPr>
        <w:jc w:val="righ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sectPr>
      <w:cols w:num="1" w:space="708" w:equalWidth="true"/>
      <w:footnotePr>
        <w:pos w:val="pageBottom"/>
      </w:footnotePr>
      <w:lnNumType w:distance="0"/>
      <w:pgSz w:w="11906" w:h="16838"/>
      <w:pgMar w:left="1701" w:right="850" w:top="1134" w:bottom="1134" w:gutter="0" w:header="708" w:footer="708"/>
    </w:sectPr>
  </w:body>
</w:document>
</file>

<file path=word/endnotes.xml><?xml version="1.0" encoding="utf-8"?>
<w:end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endnote w:type="separator" w:id="0">
    <w:p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eparator/>
      </w:r>
    </w:p>
  </w:endnote>
  <w:endnote w:type="continuationSeparator" w:id="1">
    <w:p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eparator/>
      </w:r>
    </w:p>
  </w:endnote>
</w:endnotes>
</file>

<file path=word/fontTable.xml><?xml version="1.0" encoding="utf-8"?>
<w:fonts xmlns:w="http://schemas.openxmlformats.org/wordprocessingml/2006/main">
  <w:font w:name="Times New Roman">
    <w:panose1 w:val="02020603050405020304"/>
    <w:family w:val="roman"/>
    <w:charset w:val="CC"/>
    <w:pitch w:val="variable"/>
  </w:font>
  <w:font w:name="Courier New">
    <w:panose1 w:val="02070309020205020404"/>
    <w:family w:val="modern"/>
    <w:charset w:val="CC"/>
    <w:pitch w:val="fixed"/>
  </w:font>
  <w:font w:name="Cambria Math">
    <w:panose1 w:val="02040503050406030204"/>
    <w:family w:val="roman"/>
    <w:charset w:val="01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Cambria">
    <w:panose1 w:val="020405030504060302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Calibri">
    <w:panose1 w:val="020f0502020204030204"/>
    <w:family w:val="swiss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Courier New">
    <w:family w:val="modern"/>
    <w:charset w:val="00"/>
    <w:pitch w:val="fixed"/>
  </w:font>
  <w:font w:name="Courier New CE">
    <w:family w:val="modern"/>
    <w:charset w:val="EE"/>
    <w:pitch w:val="fixed"/>
  </w:font>
  <w:font w:name="Courier New Greek">
    <w:family w:val="modern"/>
    <w:charset w:val="A1"/>
    <w:pitch w:val="fixed"/>
  </w:font>
  <w:font w:name="Courier New Tur">
    <w:family w:val="modern"/>
    <w:charset w:val="A2"/>
    <w:pitch w:val="fixed"/>
  </w:font>
  <w:font w:name="Courier New (Hebrew)">
    <w:family w:val="modern"/>
    <w:charset w:val="B1"/>
    <w:pitch w:val="fixed"/>
  </w:font>
  <w:font w:name="Courier New (Arabic)">
    <w:family w:val="modern"/>
    <w:charset w:val="B2"/>
    <w:pitch w:val="fixed"/>
  </w:font>
  <w:font w:name="Courier New Baltic">
    <w:family w:val="modern"/>
    <w:charset w:val="BA"/>
    <w:pitch w:val="fixed"/>
  </w:font>
  <w:font w:name="Courier New (Vietnamese)">
    <w:family w:val="modern"/>
    <w:charset w:val="A3"/>
    <w:pitch w:val="fixed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Cambria">
    <w:family w:val="roman"/>
    <w:charset w:val="00"/>
    <w:pitch w:val="variable"/>
  </w:font>
  <w:font w:name="Cambria CE">
    <w:family w:val="roman"/>
    <w:charset w:val="EE"/>
    <w:pitch w:val="variable"/>
  </w:font>
  <w:font w:name="Cambria Greek">
    <w:family w:val="roman"/>
    <w:charset w:val="A1"/>
    <w:pitch w:val="variable"/>
  </w:font>
  <w:font w:name="Cambria Tur">
    <w:family w:val="roman"/>
    <w:charset w:val="A2"/>
    <w:pitch w:val="variable"/>
  </w:font>
  <w:font w:name="Cambria Baltic">
    <w:family w:val="roman"/>
    <w:charset w:val="BA"/>
    <w:pitch w:val="variable"/>
  </w:font>
  <w:font w:name="Cambria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Calibri">
    <w:family w:val="swiss"/>
    <w:charset w:val="00"/>
    <w:pitch w:val="variable"/>
  </w:font>
  <w:font w:name="Calibri CE">
    <w:family w:val="swiss"/>
    <w:charset w:val="EE"/>
    <w:pitch w:val="variable"/>
  </w:font>
  <w:font w:name="Calibri Greek">
    <w:family w:val="swiss"/>
    <w:charset w:val="A1"/>
    <w:pitch w:val="variable"/>
  </w:font>
  <w:font w:name="Calibri Tur">
    <w:family w:val="swiss"/>
    <w:charset w:val="A2"/>
    <w:pitch w:val="variable"/>
  </w:font>
  <w:font w:name="Calibri Baltic">
    <w:family w:val="swiss"/>
    <w:charset w:val="BA"/>
    <w:pitch w:val="variable"/>
  </w:font>
  <w:font w:name="Calibri (Vietnamese)">
    <w:family w:val="swiss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</w:fonts>
</file>

<file path=word/footnotes.xml><?xml version="1.0" encoding="utf-8"?>
<w:foot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footnote w:type="separator" w:id="0">
    <w:p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eparator/>
      </w:r>
    </w:p>
  </w:footnote>
  <w:footnote w:type="continuationSeparator" w:id="1">
    <w:p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>
  <w:zoom w:percent="100"/>
  <w:defaultTabStop w:val="708"/>
  <w:characterSpacingControl xmlns:w="http://schemas.openxmlformats.org/wordprocessingml/2006/main" w:val="doNotCompress"/>
  <w:compat xmlns:w="http://schemas.openxmlformats.org/wordprocessingml/2006/main"/>
  <m:mathPr>
    <m:mathFont m:val="Cambria Math"/>
    <m:brkBin m:val="before"/>
    <m:brkBinSub m:val="--"/>
    <m:smallFrac w:val="0"/>
    <m:dispDef w:val="1"/>
    <m:lMargin w:val="0"/>
    <m:rMargin w:val="0"/>
    <m:defJc m:val="centerGroup"/>
    <m:wrapIndent w:val="1440"/>
    <m:intLim xmlns:m="http://schemas.openxmlformats.org/officeDocument/2006/math" m:val="subSup"/>
    <m:naryLim m:val="undOvr"/>
  </m:mathPr>
  <w:themeFontLang xmlns:w="http://schemas.openxmlformats.org/wordprocessingml/2006/main" w:val="ru-RU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shapeDefaults xmlns:w="http://schemas.openxmlformats.org/wordprocessingml/2006/main">
    <o:shapedefaults xmlns:o="urn:schemas-microsoft-com:office:office" xmlns:v="urn:schemas-microsoft-com:vml" v:ext="edit" spidmax="2050"/>
    <o:shapelayout xmlns:o="urn:schemas-microsoft-com:office:office" xmlns:v="urn:schemas-microsoft-com:vml" v:ext="edit">
      <o:idmap v:ext="edit" data="1"/>
    </o:shapelayout>
  </w:shapeDefaults>
  <w:decimalSymbol xmlns:w="http://schemas.openxmlformats.org/wordprocessingml/2006/main" w:val=","/>
  <w:listSeparator xmlns:w="http://schemas.openxmlformats.org/wordprocessingml/2006/main" w:val=";"/>
  <w:doNotHyphenateCaps xmlns:w="http://schemas.openxmlformats.org/wordprocessingml/2006/main" w:val="true"/>
  <w:bordersDoNotSurroundHeader xmlns:w="http://schemas.openxmlformats.org/wordprocessingml/2006/main" w:val="false"/>
  <w:bordersDoNotSurroundFooter xmlns:w="http://schemas.openxmlformats.org/wordprocessingml/2006/main" w:val="false"/>
  <w:footnotePr xmlns:w="http://schemas.openxmlformats.org/wordprocessingml/2006/main">
    <w:footnote w:id="1"/>
    <w:footnote w:id="0"/>
    <w:pos w:val="pageBottom"/>
  </w:footnotePr>
  <w:endnotePr xmlns:w="http://schemas.openxmlformats.org/wordprocessingml/2006/main">
    <w:endnote w:id="1"/>
    <w:endnote w:id="0"/>
    <w:pos w:val="docEnd"/>
  </w:endnotePr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2" Type="http://schemas.openxmlformats.org/officeDocument/2006/relationships/hyperlink" Target="consultantplus://offline/main?base=RLAW127;n=15563;fld=134;dst=100329" TargetMode="External"/><Relationship Id="rId3" Type="http://schemas.openxmlformats.org/officeDocument/2006/relationships/theme" Target="theme/theme1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10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07/7/7/main" val="1F497D" mc:Ignorable=""/>
      </a:dk2>
      <a:lt2>
        <a:srgbClr xmlns:mc="http://schemas.openxmlformats.org/markup-compatibility/2006" xmlns:a14="http://schemas.microsoft.com/office/drawing/2007/7/7/main" val="EEECE1" mc:Ignorable=""/>
      </a:lt2>
      <a:accent1>
        <a:srgbClr xmlns:mc="http://schemas.openxmlformats.org/markup-compatibility/2006" xmlns:a14="http://schemas.microsoft.com/office/drawing/2007/7/7/main" val="4F81BD" mc:Ignorable=""/>
      </a:accent1>
      <a:accent2>
        <a:srgbClr xmlns:mc="http://schemas.openxmlformats.org/markup-compatibility/2006" xmlns:a14="http://schemas.microsoft.com/office/drawing/2007/7/7/main" val="C0504D" mc:Ignorable=""/>
      </a:accent2>
      <a:accent3>
        <a:srgbClr xmlns:mc="http://schemas.openxmlformats.org/markup-compatibility/2006" xmlns:a14="http://schemas.microsoft.com/office/drawing/2007/7/7/main" val="9BBB59" mc:Ignorable=""/>
      </a:accent3>
      <a:accent4>
        <a:srgbClr xmlns:mc="http://schemas.openxmlformats.org/markup-compatibility/2006" xmlns:a14="http://schemas.microsoft.com/office/drawing/2007/7/7/main" val="8064A2" mc:Ignorable=""/>
      </a:accent4>
      <a:accent5>
        <a:srgbClr xmlns:mc="http://schemas.openxmlformats.org/markup-compatibility/2006" xmlns:a14="http://schemas.microsoft.com/office/drawing/2007/7/7/main" val="4BACC6" mc:Ignorable=""/>
      </a:accent5>
      <a:accent6>
        <a:srgbClr xmlns:mc="http://schemas.openxmlformats.org/markup-compatibility/2006" xmlns:a14="http://schemas.microsoft.com/office/drawing/2007/7/7/main" val="F79646" mc:Ignorable=""/>
      </a:accent6>
      <a:hlink>
        <a:srgbClr xmlns:mc="http://schemas.openxmlformats.org/markup-compatibility/2006" xmlns:a14="http://schemas.microsoft.com/office/drawing/2007/7/7/main" val="0000FF" mc:Ignorable=""/>
      </a:hlink>
      <a:folHlink>
        <a:srgbClr xmlns:mc="http://schemas.openxmlformats.org/markup-compatibility/2006" xmlns:a14="http://schemas.microsoft.com/office/drawing/2007/7/7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07/7/7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otalTime>0</TotalTime>
  <Pages>1</Pages>
  <Words>161</Words>
  <Characters>918</Characters>
  <CharactersWithSpaces>1077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kiv</dc:creator>
</cp:coreProperties>
</file>