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10" Type="http://schemas.openxmlformats.org/officeDocument/2006/relationships/extended-properties" Target="docProps/app.xml"/><Relationship Id="rId11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tbl>
      <w:tblPr>
        <w:tblLayout w:type="autofit"/>
        <w:tblInd w:w="108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860"/>
        <w:gridCol w:w="4500"/>
      </w:tblGrid>
      <w:tr>
        <w:tc>
          <w:tcPr>
            <w:tcW w:type="dxa" w:w="4860"/>
            <w:shd w:val="nil"/>
            <w:vAlign w:val="top"/>
            <w:textDirection w:val="lrTb"/>
            <w:gridSpan w:val="1"/>
          </w:tcPr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4500"/>
            <w:shd w:val="nil"/>
            <w:vAlign w:val="top"/>
            <w:textDirection w:val="lrTb"/>
            <w:gridSpan w:val="1"/>
          </w:tcPr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3</w:t>
            </w:r>
          </w:p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 положению</w:t>
            </w:r>
          </w:p>
          <w:p>
            <w:pPr>
              <w:outlineLvl w:val="0"/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>
      <w:pPr>
        <w:jc w:val="right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  <w:highlight w:val="cyan"/>
        </w:rPr>
      </w:pPr>
    </w:p>
    <w:p>
      <w:pPr>
        <w:jc w:val="right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  <w:highlight w:val="cyan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ПОРЯДОК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установления должностных окладов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и другие условия оплаты труда руководителей, заместителей руководителей, главных бухгалтеров, специалистов и служащих 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  <w:highlight w:val="cyan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образовательных учреждений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  <w:highlight w:val="cyan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Должностные оклады руководителей образовательных учреждений, руководителей структурных подразделений образовательного учреждения устанавливаются исходя из отнесения учреждений к группам по оплате труда руководителей и руководящих работников в зависимости от объема и сложности выполняемых работ.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  <w:highlight w:val="cyan"/>
        </w:rPr>
      </w:pPr>
      <w:r>
        <w:rPr>
          <w:rFonts w:ascii="Times New Roman" w:eastAsia="Times New Roman" w:hAnsi="Times New Roman" w:cs="Times New Roman"/>
          <w:sz w:val="28"/>
        </w:rPr>
        <w:t xml:space="preserve">2. Показатели и порядок отнесения учреждений к группам по оплате труда руководителей и руководящих работников определяются согласно приложению 6 к настоящему Положению.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Должностные оклады заместителей руководителей и главных бухгалтеров образовательных учреждений устанавливаются на 10 – 20 процентов ниже должностных окладов руководителей этих учреждений в соответствии с уровнем квалификации.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Должностные оклады руководителей образовательных учреждений, руководителей структурных подразделений образовательного учреждения определяются по следующей формуле: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16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 = Б х Крс х Ксп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rFonts w:ascii="Times New Roman" w:eastAsia="Times New Roman" w:hAnsi="Times New Roman" w:cs="Times New Roman"/>
          <w:sz w:val="28"/>
        </w:rPr>
        <w:t xml:space="preserve">, где: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 – должностной оклад руководителя образовательного учреждения, руководителя структурного  подразделения образовательного учреждения;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 – базовая единица;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Крс – повышающий коэффициент к должностным окладам  руководителя образовательного учреждения, руководителей структурных подразделений образовательного учреждения, значения которых приведены в </w:t>
      </w:r>
      <w:hyperlink r:id="rId2">
        <w:r>
          <w:rPr>
            <w:rFonts w:ascii="Times New Roman" w:eastAsia="Times New Roman" w:hAnsi="Times New Roman" w:cs="Times New Roman"/>
            <w:sz w:val="28"/>
          </w:rPr>
          <w:t xml:space="preserve">таблицах  1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4;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Ксп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rFonts w:ascii="Times New Roman" w:eastAsia="Times New Roman" w:hAnsi="Times New Roman" w:cs="Times New Roman"/>
          <w:sz w:val="28"/>
        </w:rPr>
        <w:t xml:space="preserve"> - коэффициент специфики работы, значения которых приведены в таблице 4 приложения 1 к настоящему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Должностной оклад руководителя образовательного учреждения  не должен превышать трех размеров средней заработной платы работников, которые относятся к основному персоналу.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1</w:t>
      </w:r>
    </w:p>
    <w:p>
      <w:pPr>
        <w:jc w:val="right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autofit"/>
        <w:tblInd w:w="0" w:type="dxa"/>
        <w:tblW w:w="9468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4968"/>
        <w:gridCol w:w="2508"/>
        <w:gridCol w:w="1992"/>
      </w:tblGrid>
      <w:tr>
        <w:tc>
          <w:tcPr>
            <w:tcW w:type="dxa" w:w="49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должностей</w:t>
            </w:r>
          </w:p>
        </w:tc>
        <w:tc>
          <w:tcPr>
            <w:tcW w:type="dxa" w:w="25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Число воспитанников, обучающихся, учащихся</w:t>
            </w:r>
          </w:p>
        </w:tc>
        <w:tc>
          <w:tcPr>
            <w:tcW w:type="dxa" w:w="19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Повышающий коэффициент</w:t>
            </w:r>
          </w:p>
        </w:tc>
      </w:tr>
      <w:tr>
        <w:tc>
          <w:tcPr>
            <w:tcW w:type="dxa" w:w="49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25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tcW w:type="dxa" w:w="19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</w:tr>
      <w:tr>
        <w:tc>
          <w:tcPr>
            <w:vMerge w:val="restart"/>
            <w:tcW w:type="dxa" w:w="49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библиотекой</w:t>
            </w:r>
          </w:p>
        </w:tc>
        <w:tc>
          <w:tcPr>
            <w:tcW w:type="dxa" w:w="25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800 чел.</w:t>
            </w:r>
          </w:p>
        </w:tc>
        <w:tc>
          <w:tcPr>
            <w:tcW w:type="dxa" w:w="19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2,10</w:t>
            </w:r>
          </w:p>
        </w:tc>
      </w:tr>
      <w:tr>
        <w:tc>
          <w:tcPr>
            <w:vMerge w:val="continue"/>
            <w:tcW w:type="dxa" w:w="49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5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500 до 800 чел.</w:t>
            </w:r>
          </w:p>
        </w:tc>
        <w:tc>
          <w:tcPr>
            <w:tcW w:type="dxa" w:w="19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2,00</w:t>
            </w:r>
          </w:p>
        </w:tc>
      </w:tr>
      <w:tr>
        <w:tc>
          <w:tcPr>
            <w:vMerge w:val="continue"/>
            <w:tcW w:type="dxa" w:w="49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5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100 до 499 чел.</w:t>
            </w:r>
          </w:p>
        </w:tc>
        <w:tc>
          <w:tcPr>
            <w:tcW w:type="dxa" w:w="19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1,92</w:t>
            </w:r>
          </w:p>
        </w:tc>
      </w:tr>
      <w:tr>
        <w:tc>
          <w:tcPr>
            <w:vMerge w:val="restart"/>
            <w:tcW w:type="dxa" w:w="49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производством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(шеф-повар)</w:t>
            </w:r>
          </w:p>
        </w:tc>
        <w:tc>
          <w:tcPr>
            <w:tcW w:type="dxa" w:w="25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800 чел.</w:t>
            </w:r>
          </w:p>
        </w:tc>
        <w:tc>
          <w:tcPr>
            <w:tcW w:type="dxa" w:w="19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2,10</w:t>
            </w:r>
          </w:p>
        </w:tc>
      </w:tr>
      <w:tr>
        <w:tc>
          <w:tcPr>
            <w:vMerge w:val="continue"/>
            <w:tcW w:type="dxa" w:w="49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5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500 до 800 чел.</w:t>
            </w:r>
          </w:p>
        </w:tc>
        <w:tc>
          <w:tcPr>
            <w:tcW w:type="dxa" w:w="19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2,00</w:t>
            </w:r>
          </w:p>
        </w:tc>
      </w:tr>
      <w:tr>
        <w:tc>
          <w:tcPr>
            <w:vMerge w:val="continue"/>
            <w:tcW w:type="dxa" w:w="49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5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100 до 499 чел.</w:t>
            </w:r>
          </w:p>
        </w:tc>
        <w:tc>
          <w:tcPr>
            <w:tcW w:type="dxa" w:w="19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1,92</w:t>
            </w:r>
          </w:p>
        </w:tc>
      </w:tr>
      <w:tr>
        <w:tc>
          <w:tcPr>
            <w:vMerge w:val="restart"/>
            <w:tcW w:type="dxa" w:w="49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филиала общеобразовательного учреждения</w:t>
            </w:r>
          </w:p>
        </w:tc>
        <w:tc>
          <w:tcPr>
            <w:tcW w:type="dxa" w:w="25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100 чел.</w:t>
            </w:r>
          </w:p>
        </w:tc>
        <w:tc>
          <w:tcPr>
            <w:tcW w:type="dxa" w:w="19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4,00</w:t>
            </w:r>
          </w:p>
        </w:tc>
      </w:tr>
      <w:tr>
        <w:tc>
          <w:tcPr>
            <w:vMerge w:val="continue"/>
            <w:tcW w:type="dxa" w:w="49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5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100 до 50 чел.</w:t>
            </w:r>
          </w:p>
        </w:tc>
        <w:tc>
          <w:tcPr>
            <w:tcW w:type="dxa" w:w="19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3,00</w:t>
            </w:r>
          </w:p>
        </w:tc>
      </w:tr>
      <w:tr>
        <w:tc>
          <w:tcPr>
            <w:vMerge w:val="continue"/>
            <w:tcW w:type="dxa" w:w="49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50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50 чел.</w:t>
            </w:r>
          </w:p>
        </w:tc>
        <w:tc>
          <w:tcPr>
            <w:tcW w:type="dxa" w:w="199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2,5</w:t>
            </w:r>
          </w:p>
        </w:tc>
      </w:tr>
    </w:tbl>
    <w:p>
      <w:pPr>
        <w:jc w:val="right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2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4726"/>
        <w:gridCol w:w="2512"/>
        <w:gridCol w:w="2230"/>
      </w:tblGrid>
      <w:tr>
        <w:tc>
          <w:tcPr>
            <w:tcW w:type="dxa" w:w="472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должностей</w:t>
            </w:r>
          </w:p>
        </w:tc>
        <w:tc>
          <w:tcPr>
            <w:tcW w:type="dxa" w:w="251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Обрабатываемая земельная площадь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(га)</w:t>
            </w:r>
          </w:p>
        </w:tc>
        <w:tc>
          <w:tcPr>
            <w:tcW w:type="dxa" w:w="22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Повышающий коэффициент</w:t>
            </w:r>
          </w:p>
        </w:tc>
      </w:tr>
      <w:tr>
        <w:tc>
          <w:tcPr>
            <w:vMerge w:val="restart"/>
            <w:tcW w:type="dxa" w:w="472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Управляющий учебным хозяйством</w:t>
            </w:r>
          </w:p>
        </w:tc>
        <w:tc>
          <w:tcPr>
            <w:tcW w:type="dxa" w:w="251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50 до 100</w:t>
            </w:r>
          </w:p>
        </w:tc>
        <w:tc>
          <w:tcPr>
            <w:tcW w:type="dxa" w:w="22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1,80</w:t>
            </w:r>
          </w:p>
        </w:tc>
      </w:tr>
      <w:tr>
        <w:tc>
          <w:tcPr>
            <w:vMerge w:val="continue"/>
            <w:tcW w:type="dxa" w:w="472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51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100 до 200</w:t>
            </w:r>
          </w:p>
        </w:tc>
        <w:tc>
          <w:tcPr>
            <w:tcW w:type="dxa" w:w="22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1,85</w:t>
            </w:r>
          </w:p>
        </w:tc>
      </w:tr>
      <w:tr>
        <w:tc>
          <w:tcPr>
            <w:vMerge w:val="continue"/>
            <w:tcW w:type="dxa" w:w="472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51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200 до 300</w:t>
            </w:r>
          </w:p>
        </w:tc>
        <w:tc>
          <w:tcPr>
            <w:tcW w:type="dxa" w:w="22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1,94</w:t>
            </w:r>
          </w:p>
        </w:tc>
      </w:tr>
      <w:tr>
        <w:tc>
          <w:tcPr>
            <w:vMerge w:val="continue"/>
            <w:tcW w:type="dxa" w:w="472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51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300 до 400</w:t>
            </w:r>
          </w:p>
        </w:tc>
        <w:tc>
          <w:tcPr>
            <w:tcW w:type="dxa" w:w="22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2,10</w:t>
            </w:r>
          </w:p>
        </w:tc>
      </w:tr>
      <w:tr>
        <w:tc>
          <w:tcPr>
            <w:vMerge w:val="continue"/>
            <w:tcW w:type="dxa" w:w="472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51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400 до 500</w:t>
            </w:r>
          </w:p>
        </w:tc>
        <w:tc>
          <w:tcPr>
            <w:tcW w:type="dxa" w:w="22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2,25</w:t>
            </w:r>
          </w:p>
        </w:tc>
      </w:tr>
      <w:tr>
        <w:tc>
          <w:tcPr>
            <w:vMerge w:val="continue"/>
            <w:tcW w:type="dxa" w:w="472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251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500</w:t>
            </w:r>
          </w:p>
        </w:tc>
        <w:tc>
          <w:tcPr>
            <w:tcW w:type="dxa" w:w="22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2,43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3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4731"/>
        <w:gridCol w:w="2506"/>
        <w:gridCol w:w="2231"/>
      </w:tblGrid>
      <w:tr>
        <w:tc>
          <w:tcPr>
            <w:tcW w:type="dxa" w:w="473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должностей</w:t>
            </w:r>
          </w:p>
        </w:tc>
        <w:tc>
          <w:tcPr>
            <w:tcW w:type="dxa" w:w="25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Число воспитанников, обучающихся, учащихся</w:t>
            </w:r>
          </w:p>
        </w:tc>
        <w:tc>
          <w:tcPr>
            <w:tcW w:type="dxa" w:w="223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Повышающий коэффициент</w:t>
            </w:r>
          </w:p>
        </w:tc>
      </w:tr>
      <w:tr>
        <w:tc>
          <w:tcPr>
            <w:tcW w:type="dxa" w:w="473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штаба гражданской обороны</w:t>
            </w:r>
          </w:p>
        </w:tc>
        <w:tc>
          <w:tcPr>
            <w:tcW w:type="dxa" w:w="25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 контингенте свыше 600 чел.</w:t>
            </w:r>
          </w:p>
        </w:tc>
        <w:tc>
          <w:tcPr>
            <w:tcW w:type="dxa" w:w="223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2,25</w:t>
            </w:r>
          </w:p>
        </w:tc>
      </w:tr>
      <w:tr>
        <w:tc>
          <w:tcPr>
            <w:tcW w:type="dxa" w:w="473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общежитием</w:t>
            </w:r>
          </w:p>
        </w:tc>
        <w:tc>
          <w:tcPr>
            <w:tcW w:type="dxa" w:w="250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количеством проживающих свыше 300 чел.</w:t>
            </w:r>
          </w:p>
        </w:tc>
        <w:tc>
          <w:tcPr>
            <w:tcW w:type="dxa" w:w="223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1,94</w:t>
            </w:r>
          </w:p>
        </w:tc>
      </w:tr>
    </w:tbl>
    <w:p>
      <w:pPr>
        <w:jc w:val="right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4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5148"/>
        <w:gridCol w:w="1080"/>
        <w:gridCol w:w="1080"/>
        <w:gridCol w:w="1080"/>
        <w:gridCol w:w="1080"/>
      </w:tblGrid>
      <w:tr>
        <w:trHeight w:val="1285" w:hRule="atLeast"/>
        <w:tc>
          <w:tcPr>
            <w:vMerge w:val="restart"/>
            <w:tcW w:type="dxa" w:w="51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должностей</w:t>
            </w:r>
          </w:p>
        </w:tc>
        <w:tc>
          <w:tcPr>
            <w:tcW w:type="dxa" w:w="43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4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Повышающий коэффициент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(образовательные учреждения, относящиеся к группам по оплате труда руководителей)</w:t>
            </w:r>
          </w:p>
        </w:tc>
      </w:tr>
      <w:tr>
        <w:trHeight w:val="280" w:hRule="atLeast"/>
        <w:tc>
          <w:tcPr>
            <w:vMerge w:val="continue"/>
            <w:tcW w:type="dxa" w:w="51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II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III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IV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</w:t>
            </w:r>
          </w:p>
        </w:tc>
      </w:tr>
      <w:tr>
        <w:tc>
          <w:tcPr>
            <w:tcW w:type="dxa" w:w="51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</w:t>
            </w:r>
          </w:p>
        </w:tc>
      </w:tr>
      <w:tr>
        <w:tc>
          <w:tcPr>
            <w:tcW w:type="dxa" w:w="51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учреждения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2,35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2,19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2,02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1,89</w:t>
            </w:r>
          </w:p>
        </w:tc>
      </w:tr>
      <w:tr>
        <w:tc>
          <w:tcPr>
            <w:tcW w:type="dxa" w:w="51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столовой и других  струк-турных подразделений общеобразова-тельного учреждения (подразделения), учреждения дополнительного образова-ния детей, начального и среднего профессионального образования 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2,25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1,94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1,79</w:t>
            </w:r>
          </w:p>
        </w:tc>
      </w:tr>
      <w:tr>
        <w:tc>
          <w:tcPr>
            <w:tcW w:type="dxa" w:w="51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 кабинетом, лабораторией, отделом, отделением, сектором учреж-дения дополнительного образования взрослых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2,97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>
        <w:tc>
          <w:tcPr>
            <w:tcW w:type="dxa" w:w="51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кафедрой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2,57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>
        <w:tc>
          <w:tcPr>
            <w:tcW w:type="dxa" w:w="514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(заведующий, директор, руководитель, управляющий) обособ-ленного структурного подразделения (филиала) общеобразовательного учреж-дения (подразделения),  учреждения дополнительного образования детей, начального и среднего профессио-нального образования, старший мастер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2,43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2,25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1,94</w:t>
            </w:r>
          </w:p>
        </w:tc>
      </w:tr>
    </w:tbl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Должностной оклад специалистов и служащих из числа учебно-вспомогательного персонала образовательного учреждения определяется по следующей формуле: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16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Оув = Б х Кувх Ксп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1</w:t>
      </w:r>
      <w:r>
        <w:rPr>
          <w:rFonts w:ascii="Times New Roman" w:eastAsia="Times New Roman" w:hAnsi="Times New Roman" w:cs="Times New Roman"/>
          <w:sz w:val="28"/>
        </w:rPr>
        <w:t xml:space="preserve">, где: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Оув – должностной оклад специалистов и служащих из числа учебно-вспомогательного персонала;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 – базовая единица;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Кув – повышающий коэффициент к должностным окладам по должностям работников из числа учебно-вспомогательного персонала образовательных учреждений, значения которых приведены в </w:t>
      </w:r>
      <w:hyperlink r:id="rId3">
        <w:r>
          <w:rPr>
            <w:rFonts w:ascii="Times New Roman" w:eastAsia="Times New Roman" w:hAnsi="Times New Roman" w:cs="Times New Roman"/>
            <w:sz w:val="28"/>
          </w:rPr>
          <w:t xml:space="preserve">таблице </w:t>
        </w:r>
      </w:hyperlink>
      <w:r>
        <w:rPr>
          <w:rFonts w:ascii="Times New Roman" w:eastAsia="Times New Roman" w:hAnsi="Times New Roman" w:cs="Times New Roman"/>
          <w:sz w:val="28"/>
        </w:rPr>
        <w:t xml:space="preserve">5.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5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tbl>
      <w:tblPr>
        <w:tblLayout w:type="fixed"/>
        <w:tblInd w:w="0" w:type="dxa"/>
        <w:tblW w:w="9468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3652"/>
        <w:gridCol w:w="956"/>
        <w:gridCol w:w="1080"/>
        <w:gridCol w:w="941"/>
        <w:gridCol w:w="850"/>
        <w:gridCol w:w="1989"/>
      </w:tblGrid>
      <w:tr>
        <w:trHeight w:val="558" w:hRule="atLeast"/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должности и требования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квалификации</w:t>
            </w:r>
          </w:p>
        </w:tc>
        <w:tc>
          <w:tcPr>
            <w:tcW w:type="dxa" w:w="382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4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Категории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Повышаю-щий коэф-фициент 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должност-ным окладам 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должнос-тям работ-ников из числа учебно-вспомога-тельного персонала (Кув)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выс-шая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веду-щая</w:t>
            </w: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пер-вая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вто-рая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без категории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</w:t>
            </w:r>
          </w:p>
        </w:tc>
      </w:tr>
      <w:tr>
        <w:trHeight w:val="370" w:hRule="atLeast"/>
        <w:tc>
          <w:tcPr>
            <w:tcW w:type="dxa" w:w="9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6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Учебно-вспомогательный персонал образовательных учреждений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Документовед, бухгалтер, инженер всех специальнос-тей (инженер по охране труда и технике безопас-ности, инженер-электроник, инженер-энергетик, инже-нер-программист, инженер-технолог), художник, библиотекарь, экономист, механик, юрисконсульт, сурдопереводчик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1,79</w:t>
            </w: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1,50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1,36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1,30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Техник, техник-програм-мист, техник по ремонту оборудования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1,36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1,30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1,21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Калькулятор, паспортист, экспедитор по перевозке грузов, помощник воспитателя, санитарка, делопроизводитель, кассир, секретарь-машинистка, младший воспитатель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1,09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</w:t>
            </w: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Программист, электроник, картограф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2,1</w:t>
            </w: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1,79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1,50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1,24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Архивариус, инспектор 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кадрам, заведующий складом, комендант,  дежурный 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общежитию, заведующий канцелярией, машинистка, заведующая машинописным бюро, заведующий хозяйством, лаборант (включая старшего), секретарь учебной части (диспетчер)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1,14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по кадрам, аккомпаниатор, психолог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1,55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Врач-специалист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2,25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2,1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1,94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1,36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Инструктор по спорту, физкультуре (лечебной физкультуре)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1,65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1,50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1,36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1,24</w:t>
            </w:r>
          </w:p>
        </w:tc>
      </w:tr>
      <w:tr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Инструктор-методист по лечебной физкультуре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2,1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1,94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1,79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1,65</w:t>
            </w:r>
          </w:p>
        </w:tc>
      </w:tr>
      <w:tr>
        <w:trHeight w:val="352" w:hRule="atLeast"/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Зубной врач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1,94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1,79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1,64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1,50</w:t>
            </w:r>
          </w:p>
        </w:tc>
      </w:tr>
      <w:tr>
        <w:trHeight w:val="352" w:hRule="atLeast"/>
        <w:tc>
          <w:tcPr>
            <w:tcW w:type="dxa" w:w="36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</w:t>
            </w:r>
          </w:p>
        </w:tc>
        <w:tc>
          <w:tcPr>
            <w:tcW w:type="dxa" w:w="9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1,79</w:t>
            </w:r>
          </w:p>
        </w:tc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94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1,64</w:t>
            </w:r>
          </w:p>
        </w:tc>
        <w:tc>
          <w:tcPr>
            <w:tcW w:type="dxa" w:w="8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1,36</w:t>
            </w:r>
          </w:p>
        </w:tc>
        <w:tc>
          <w:tcPr>
            <w:tcW w:type="dxa" w:w="198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1,24</w:t>
            </w:r>
          </w:p>
        </w:tc>
      </w:tr>
    </w:tbl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1"/>
        <w:jc w:val="righ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  <w:titlePg/>
      <w:headerReference w:type="default" r:id="rId5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>
      <w:r>
        <w:rPr>
          <w:rFonts w:ascii="Times New Roman" w:eastAsia="Times New Roman" w:hAnsi="Times New Roman" w:cs="Times New Roman"/>
          <w:sz w:val="24"/>
        </w:rPr>
        <w:t xml:space="preserve">5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consultantplus://offline/main?base=RLAW127;n=15563;fld=134;dst=100311" TargetMode="External"/><Relationship Id="rId3" Type="http://schemas.openxmlformats.org/officeDocument/2006/relationships/hyperlink" Target="consultantplus://offline/main?base=RLAW127;n=15563;fld=134;dst=100323" TargetMode="External"/><Relationship Id="rId4" Type="http://schemas.openxmlformats.org/officeDocument/2006/relationships/theme" Target="theme/theme1.xml"/><Relationship Id="rId5" Type="http://schemas.openxmlformats.org/officeDocument/2006/relationships/header" Target="head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styles" Target="styles.xml"/><Relationship Id="rId9" Type="http://schemas.openxmlformats.org/officeDocument/2006/relationships/fontTable" Target="fontTable.xml"/><Relationship Id="rId1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5</Pages>
  <Words>907</Words>
  <Characters>5171</Characters>
  <CharactersWithSpaces>6066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kiv</dc:creator>
</cp:coreProperties>
</file>