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fixed"/>
        <w:tblInd w:w="108" w:type="dxa"/>
        <w:tblW w:w="936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860"/>
        <w:gridCol w:w="4500"/>
      </w:tblGrid>
      <w:tr>
        <w:tc>
          <w:tcPr>
            <w:tcW w:type="dxa" w:w="486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50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2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положению 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center"/>
        <w:textAlignment w:val="auto"/>
        <w:ind w:left="4536" w:right="0" w:start="4536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</w:t>
      </w: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установления базовых ставок (должностных окладов) </w:t>
      </w: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другие условия оплаты труда тренеров-преподавателей, спортсменов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и спортсменов-инструкторов образовательных учреждений спортивной направленности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 стимулирующих выплат с учетом повышений, предусмотренных пунктами 11, 12 настоящего Положения.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Ставка спортсмена, спортсмена-инструктора устанавливается в зависимости от наличия спортивного разряда или спортивного звания и определяется по формуле: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Ос= Б х 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, где:</w:t>
      </w: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 – ставка спортсмена, спортсмена-инструктора;</w:t>
      </w: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outlineLvl w:val="2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– персональный коэффициент квалификации спортсмена и спортсмена-инструктора, размеры которых приведены в таблице 1.</w:t>
      </w:r>
    </w:p>
    <w:p>
      <w:pPr>
        <w:outlineLvl w:val="2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квалификации (Кк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3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709"/>
        <w:gridCol w:w="1134"/>
        <w:gridCol w:w="1397"/>
        <w:gridCol w:w="1154"/>
        <w:gridCol w:w="1726"/>
        <w:gridCol w:w="1980"/>
        <w:gridCol w:w="1260"/>
      </w:tblGrid>
      <w:tr>
        <w:cantSplit w:val="true"/>
        <w:trHeight w:val="840" w:hRule="atLeast"/>
        <w:tc>
          <w:tcPr>
            <w:tcW w:type="dxa" w:w="709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раз-ряд</w:t>
            </w:r>
          </w:p>
        </w:tc>
        <w:tc>
          <w:tcPr>
            <w:tcW w:type="dxa" w:w="1134"/>
            <w:tcBorders>
              <w:left w:sz="4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Канди-дат в мастера  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спорта</w:t>
            </w:r>
          </w:p>
        </w:tc>
        <w:tc>
          <w:tcPr>
            <w:tcW w:type="dxa" w:w="1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России,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гроссмей-стер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</w:t>
            </w:r>
          </w:p>
        </w:tc>
        <w:tc>
          <w:tcPr>
            <w:tcW w:type="dxa" w:w="11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спорта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между-народ-ного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класса</w:t>
            </w:r>
          </w:p>
        </w:tc>
        <w:tc>
          <w:tcPr>
            <w:tcW w:type="dxa" w:w="17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спорта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международ-ного класса – призер все-российских соревнований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спорта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международ-ного класса - призер</w:t>
            </w:r>
          </w:p>
          <w:p>
            <w:pPr>
              <w:jc w:val="center"/>
              <w:textAlignment w:val="auto"/>
              <w:ind w:left="-57" w:right="-57" w:start="-57" w:end="-57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международных соревнований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Заслу-женный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спорта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</w:t>
            </w:r>
          </w:p>
        </w:tc>
      </w:tr>
      <w:tr>
        <w:cantSplit w:val="true"/>
        <w:trHeight w:val="65" w:hRule="atLeast"/>
        <w:tc>
          <w:tcPr>
            <w:tcW w:type="dxa" w:w="9360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7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повышающего коэффициента для видов спорта, кроме игровых</w:t>
            </w:r>
          </w:p>
        </w:tc>
      </w:tr>
      <w:tr>
        <w:cantSplit w:val="true"/>
        <w:trHeight w:val="240" w:hRule="atLeast"/>
        <w:tc>
          <w:tcPr>
            <w:tcW w:type="dxa" w:w="709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</w:t>
            </w:r>
          </w:p>
        </w:tc>
        <w:tc>
          <w:tcPr>
            <w:tcW w:type="dxa" w:w="1134"/>
            <w:tcBorders>
              <w:left w:sz="4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1,0</w:t>
            </w:r>
          </w:p>
        </w:tc>
        <w:tc>
          <w:tcPr>
            <w:tcW w:type="dxa" w:w="1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</w:t>
            </w:r>
          </w:p>
        </w:tc>
        <w:tc>
          <w:tcPr>
            <w:tcW w:type="dxa" w:w="11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2,0</w:t>
            </w:r>
          </w:p>
        </w:tc>
        <w:tc>
          <w:tcPr>
            <w:tcW w:type="dxa" w:w="17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2,5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3,5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4,0</w:t>
            </w:r>
          </w:p>
        </w:tc>
      </w:tr>
      <w:tr>
        <w:cantSplit w:val="true"/>
        <w:trHeight w:val="240" w:hRule="atLeast"/>
        <w:tc>
          <w:tcPr>
            <w:tcW w:type="dxa" w:w="9360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7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повышающего коэффициента для игровых видов спорта</w:t>
            </w:r>
          </w:p>
        </w:tc>
      </w:tr>
      <w:tr>
        <w:cantSplit w:val="true"/>
        <w:trHeight w:val="240" w:hRule="atLeast"/>
        <w:tc>
          <w:tcPr>
            <w:tcW w:type="dxa" w:w="709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1,0</w:t>
            </w:r>
          </w:p>
        </w:tc>
        <w:tc>
          <w:tcPr>
            <w:tcW w:type="dxa" w:w="1134"/>
            <w:tcBorders>
              <w:left w:sz="4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2,0</w:t>
            </w:r>
          </w:p>
        </w:tc>
        <w:tc>
          <w:tcPr>
            <w:tcW w:type="dxa" w:w="1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2,5</w:t>
            </w:r>
          </w:p>
        </w:tc>
        <w:tc>
          <w:tcPr>
            <w:tcW w:type="dxa" w:w="11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3,0</w:t>
            </w:r>
          </w:p>
        </w:tc>
        <w:tc>
          <w:tcPr>
            <w:tcW w:type="dxa" w:w="17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3,5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4,0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4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5,0</w:t>
            </w:r>
          </w:p>
        </w:tc>
      </w:tr>
    </w:tbl>
    <w:p>
      <w:pPr>
        <w:outlineLvl w:val="2"/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54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Персональный повышающий коэффициент устанавливается учреждением при стабильных (не менее трех раз в год) успешных результатах выступлений на официальных всероссийских (1 – 3 места) и официальных международных (1 – 6 места) спортивных соревнованиях.</w:t>
      </w:r>
    </w:p>
    <w:p>
      <w:pPr>
        <w:outlineLvl w:val="2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Ставка тренера-преподавателя образовательного учреждения с учетом фактической нагрузки в % по нормативам за одного занимающегося определяется по формуле:</w:t>
      </w: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= Обт х Нф, где:</w:t>
      </w: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–  ставка тренера-преподавателя;</w:t>
      </w:r>
    </w:p>
    <w:p>
      <w:pPr>
        <w:outlineLvl w:val="2"/>
        <w:jc w:val="left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Обт – базовая ставка тренера-преподавателя;</w:t>
      </w:r>
    </w:p>
    <w:p>
      <w:pPr>
        <w:outlineLvl w:val="2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Нф – фактическая нагрузка в % по нормативам за одного занимающегося.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Базовая ставка тренера-преподавателя образовательного учреждения спортивной направленности определяется по формуле: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Обт = Б х (Кк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3</w:t>
      </w:r>
      <w:r>
        <w:rPr>
          <w:rFonts w:ascii="Times New Roman" w:eastAsia="Times New Roman" w:hAnsi="Times New Roman" w:cs="Times New Roman"/>
          <w:sz w:val="28"/>
        </w:rPr>
        <w:t xml:space="preserve">+ Кс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+Кст) х 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, где: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Обт – базовая ставка тренера-преподавателя;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3</w:t>
      </w:r>
      <w:r>
        <w:rPr>
          <w:rFonts w:ascii="Times New Roman" w:eastAsia="Times New Roman" w:hAnsi="Times New Roman" w:cs="Times New Roman"/>
          <w:sz w:val="28"/>
        </w:rPr>
        <w:t xml:space="preserve"> –  коэффициент квалификации;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 – коэффициент стажа (применяется только при отсутствии квалификационной категории и в соответствии с порядком определения стажа педагогической работы, установленном органом  специальной компетенции ,уполномоченным в сфере образования);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Кст – коэффициент специализации учебно-тренировочного процесса, который применяется начиная с учебно-тренировочного этапа подготовки во всех учреждениях образования спортивной направленности.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Значения коэффициентов квалификации, стажа и специфики работы                                        и специализации тренировочного процесса приведены в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таблицах 2</w:t>
        </w:r>
      </w:hyperlink>
      <w:r>
        <w:rPr>
          <w:rFonts w:ascii="Times New Roman" w:eastAsia="Times New Roman" w:hAnsi="Times New Roman" w:cs="Times New Roman"/>
          <w:sz w:val="28"/>
        </w:rPr>
        <w:t xml:space="preserve">, 3, 4.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квалификации (Кк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3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93" w:type="dxa"/>
        <w:tblW w:w="9375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915"/>
        <w:gridCol w:w="1316"/>
        <w:gridCol w:w="1080"/>
        <w:gridCol w:w="900"/>
        <w:gridCol w:w="1744"/>
        <w:gridCol w:w="1260"/>
        <w:gridCol w:w="1080"/>
        <w:gridCol w:w="1080"/>
      </w:tblGrid>
      <w:tr>
        <w:cantSplit w:val="true"/>
        <w:trHeight w:val="340" w:hRule="atLeast"/>
        <w:tc>
          <w:tcPr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Груп-пы</w:t>
            </w:r>
          </w:p>
        </w:tc>
        <w:tc>
          <w:tcPr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Ква-лифи-кацион-ная катего-рия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Спе-циа-лиза-ция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57" w:right="-57" w:start="-57" w:end="-57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Повы-шаю-щий коэф-фи-циент за квали-фика-цию</w:t>
            </w:r>
          </w:p>
        </w:tc>
        <w:tc>
          <w:tcPr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Уровень образования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Повы-шаю-щий коэффи-циент за уровень образо-вания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С учетом  спе-циа-лиза-ции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Без спе-циа-лиза-ции</w:t>
            </w:r>
          </w:p>
        </w:tc>
      </w:tr>
      <w:tr>
        <w:cantSplit w:val="true"/>
        <w:trHeight w:val="467" w:hRule="atLeast"/>
        <w:tc>
          <w:tcPr>
            <w:noWrap w:val="tr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</w:t>
            </w:r>
          </w:p>
        </w:tc>
        <w:tc>
          <w:tcPr>
            <w:noWrap w:val="tr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5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</w:t>
            </w:r>
          </w:p>
        </w:tc>
      </w:tr>
      <w:tr>
        <w:cantSplit w:val="true"/>
        <w:trHeight w:val="315" w:hRule="atLeast"/>
        <w:tc>
          <w:tcPr>
            <w:vMerge w:val="restart"/>
            <w:noWrap w:val="tr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vMerge w:val="restart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Отсут-ствует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0,15</w:t>
            </w:r>
          </w:p>
        </w:tc>
        <w:tc>
          <w:tcPr>
            <w:vMerge w:val="restart"/>
            <w:noWrap w:val="tr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Общее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1,15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Начальное или среднее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1,29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1,14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Высшее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1,43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1,28</w:t>
            </w:r>
          </w:p>
        </w:tc>
      </w:tr>
      <w:tr>
        <w:cantSplit w:val="true"/>
        <w:trHeight w:val="315" w:hRule="atLeast"/>
        <w:tc>
          <w:tcPr>
            <w:vMerge w:val="restart"/>
            <w:noWrap w:val="tr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vMerge w:val="restart"/>
            <w:noWrap w:val="tr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Вторая</w:t>
            </w:r>
          </w:p>
        </w:tc>
        <w:tc>
          <w:tcPr>
            <w:vMerge w:val="restart"/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0,15</w:t>
            </w:r>
          </w:p>
        </w:tc>
        <w:tc>
          <w:tcPr>
            <w:vMerge w:val="restart"/>
            <w:noWrap w:val="tr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0,35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Общее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1,35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Начальное или среднее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1,49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Высшее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1,63</w:t>
            </w:r>
          </w:p>
        </w:tc>
      </w:tr>
      <w:tr>
        <w:cantSplit w:val="true"/>
        <w:trHeight w:val="315" w:hRule="atLeast"/>
        <w:tc>
          <w:tcPr>
            <w:vMerge w:val="restart"/>
            <w:noWrap w:val="tr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vMerge w:val="restart"/>
            <w:noWrap w:val="tr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Первая</w:t>
            </w:r>
          </w:p>
        </w:tc>
        <w:tc>
          <w:tcPr>
            <w:vMerge w:val="restart"/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0,15</w:t>
            </w:r>
          </w:p>
        </w:tc>
        <w:tc>
          <w:tcPr>
            <w:vMerge w:val="restart"/>
            <w:noWrap w:val="tr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0,45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Общее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1,45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Начальное или среднее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1,59</w:t>
            </w:r>
          </w:p>
        </w:tc>
      </w:tr>
      <w:tr>
        <w:cantSplit w:val="true"/>
        <w:trHeight w:val="708" w:hRule="atLeast"/>
        <w:tc>
          <w:tcPr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5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</w:t>
            </w:r>
          </w:p>
        </w:tc>
      </w:tr>
      <w:tr>
        <w:cantSplit w:val="true"/>
        <w:trHeight w:val="965" w:hRule="atLeast"/>
        <w:tc>
          <w:tcPr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Высшее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1,73</w:t>
            </w:r>
          </w:p>
        </w:tc>
      </w:tr>
      <w:tr>
        <w:cantSplit w:val="true"/>
        <w:trHeight w:val="315" w:hRule="atLeast"/>
        <w:tc>
          <w:tcPr>
            <w:vMerge w:val="restart"/>
            <w:noWrap w:val="tr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vMerge w:val="restart"/>
            <w:noWrap w:val="tr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57" w:right="-57" w:start="-57" w:end="-57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Высшая</w:t>
            </w:r>
          </w:p>
        </w:tc>
        <w:tc>
          <w:tcPr>
            <w:vMerge w:val="restart"/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0,15</w:t>
            </w:r>
          </w:p>
        </w:tc>
        <w:tc>
          <w:tcPr>
            <w:vMerge w:val="restart"/>
            <w:noWrap w:val="tr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0,55</w:t>
            </w: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Общее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1,70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1,55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Начальное или среднее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1,84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1,69</w:t>
            </w:r>
          </w:p>
        </w:tc>
      </w:tr>
      <w:tr>
        <w:cantSplit w:val="true"/>
        <w:trHeight w:val="315" w:hRule="atLeast"/>
        <w:tc>
          <w:tcPr>
            <w:vMerge w:val="continue"/>
            <w:tcW w:type="dxa" w:w="91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noWrap w:val="true"/>
            <w:tcW w:type="dxa" w:w="17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Высшее профес-сиональное образование</w:t>
            </w:r>
          </w:p>
        </w:tc>
        <w:tc>
          <w:tcPr>
            <w:noWrap w:val="tr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1,98</w:t>
            </w:r>
          </w:p>
        </w:tc>
        <w:tc>
          <w:tcPr>
            <w:noWrap w:val="tr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1,83</w:t>
            </w:r>
          </w:p>
        </w:tc>
      </w:tr>
    </w:tbl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3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стажа (Кс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995"/>
        <w:gridCol w:w="4365"/>
      </w:tblGrid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Стаж педагогической работы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Применяемый коэффициент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20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0,20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15 до 20 лет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0,15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 до 15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0,10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3 до 10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0,05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0,10</w:t>
            </w:r>
          </w:p>
        </w:tc>
      </w:tr>
    </w:tbl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4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специфики работы (Ксп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2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3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7380"/>
        <w:gridCol w:w="1980"/>
      </w:tblGrid>
      <w:tr>
        <w:cantSplit w:val="true"/>
        <w:trHeight w:val="96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Показатели специфики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Коэффициент, применяемый при установ-лении окладов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педагоги-ческих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работников</w:t>
            </w:r>
          </w:p>
        </w:tc>
      </w:tr>
      <w:tr>
        <w:cantSplit w:val="true"/>
        <w:trHeight w:val="364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</w:tr>
      <w:tr>
        <w:cantSplit w:val="true"/>
        <w:trHeight w:val="60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работу в специальных (коррекционных) отделениях и   группах для обучающихся с ограниченными возможнос-тями здоровья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1,15 - 1,20</w:t>
            </w:r>
          </w:p>
        </w:tc>
      </w:tr>
      <w:tr>
        <w:cantSplit w:val="true"/>
        <w:trHeight w:val="48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</w:tr>
      <w:tr>
        <w:cantSplit w:val="true"/>
        <w:trHeight w:val="48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Работникам, имеющим ученую степень доктора наук по профилю образовательного учреждения или педагоги-ческой деятельности (преподаваемых дисциплин)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  <w:tr>
        <w:cantSplit w:val="true"/>
        <w:trHeight w:val="48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Работникам, имеющим ученую степень кандидата наук по профилю образовательного учреждения или педагогичес-кой деятельности (преподаваемых дисциплин)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</w:t>
            </w:r>
          </w:p>
        </w:tc>
      </w:tr>
      <w:tr>
        <w:cantSplit w:val="true"/>
        <w:trHeight w:val="60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«Народ-ный»,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1,25</w:t>
            </w:r>
          </w:p>
        </w:tc>
      </w:tr>
      <w:tr>
        <w:cantSplit w:val="true"/>
        <w:trHeight w:val="600" w:hRule="atLeast"/>
        <w:tc>
          <w:tcPr>
            <w:tcW w:type="dxa" w:w="73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работникам, имеющим почетное звание «Заслуженный учитель  СССР», «Заслуженный преподаватель СССР», «Заслуженный учитель  Российской Федерации», «Заслуженный преподаватель Российской Федерации»,  «Заслуженный учитель», «Заслуженный преподаватель» 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«Заслуженный», ученую степень кандидата наук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дисциплин; звания «Заслуженный тренер», «Заслуженный мастер спорта», «Мастер спорта международного класса», «Гроссмейстер по шахматам (шашкам)»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type="dxa" w:w="198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</w:tbl>
    <w:p>
      <w:pPr>
        <w:outlineLvl w:val="1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Оплата труда тренеров-преподавателей производится по нормативам оплаты труда за одного занимающегося на этапах спортивной подготовки, значения которых приведены в таблице 5.</w:t>
      </w: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5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Нормативы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оплаты труда тренеров-преподавателей за подготовку одного занимающегося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этапах спортивной подготовки по группам видов спорта</w:t>
      </w: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574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40"/>
        <w:gridCol w:w="3105"/>
        <w:gridCol w:w="1935"/>
        <w:gridCol w:w="2038"/>
        <w:gridCol w:w="1956"/>
      </w:tblGrid>
      <w:tr>
        <w:cantSplit w:val="true"/>
        <w:trHeight w:val="60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</w:t>
            </w:r>
          </w:p>
        </w:tc>
        <w:tc>
          <w:tcPr>
            <w:vMerge w:val="restart"/>
            <w:tcW w:type="dxa" w:w="3105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Этапы многолетней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подготовки спортсменов</w:t>
            </w:r>
          </w:p>
        </w:tc>
        <w:tc>
          <w:tcPr>
            <w:vMerge w:val="restart"/>
            <w:tcW w:type="dxa" w:w="1935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 (лет)</w:t>
            </w:r>
          </w:p>
        </w:tc>
        <w:tc>
          <w:tcPr>
            <w:tcW w:type="dxa" w:w="399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норматива оплаты 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процентах от ставки заработной платы тренера-преподавателя за подготовку одного занимающегося по группам видов спорта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3105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935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Первая группа 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Вторая группа </w:t>
            </w:r>
          </w:p>
        </w:tc>
      </w:tr>
      <w:tr>
        <w:cantSplit w:val="true"/>
        <w:trHeight w:val="24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31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</w:tr>
      <w:tr>
        <w:cantSplit w:val="true"/>
        <w:trHeight w:val="36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31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Спортивно-оздоровительный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период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vMerge w:val="restart"/>
            <w:tcW w:type="dxa" w:w="3105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Начальной подготовки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года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3105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года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vMerge w:val="restart"/>
            <w:tcW w:type="dxa" w:w="3105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Учебно-тренировочный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2-х лет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3105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2-х лет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vMerge w:val="restart"/>
            <w:tcW w:type="dxa" w:w="3105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спортивного мастерства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года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</w:t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3105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года</w:t>
            </w:r>
          </w:p>
        </w:tc>
        <w:tc>
          <w:tcPr>
            <w:tcW w:type="dxa" w:w="203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/>
            </w:r>
          </w:p>
        </w:tc>
        <w:tc>
          <w:tcPr>
            <w:tcW w:type="dxa" w:w="19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</w:t>
            </w:r>
          </w:p>
        </w:tc>
      </w:tr>
      <w:tr>
        <w:cantSplit w:val="true"/>
        <w:trHeight w:val="36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31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Высшего спортивного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мастерства</w:t>
            </w:r>
          </w:p>
        </w:tc>
        <w:tc>
          <w:tcPr>
            <w:tcW w:type="dxa" w:w="193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период</w:t>
            </w:r>
          </w:p>
        </w:tc>
        <w:tc>
          <w:tcPr>
            <w:tcW w:type="dxa" w:w="399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Устанавливается  учреждением по согласованию с учредителем</w:t>
            </w:r>
          </w:p>
        </w:tc>
      </w:tr>
    </w:tbl>
    <w:p>
      <w:pPr>
        <w:outlineLvl w:val="1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Наполняемость учебных групп и объем учебно-тренировочной нагрузки определяется с учетом техники безопасности в соответствии с образовательной программой.</w:t>
      </w:r>
    </w:p>
    <w:p>
      <w:pPr>
        <w:outlineLvl w:val="1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Нормативы по наполняемости учебных групп и максимальному объему учебно-тренировочной нагрузки приведены в таблице 6.</w:t>
      </w:r>
    </w:p>
    <w:p>
      <w:pPr>
        <w:outlineLvl w:val="2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6</w:t>
      </w:r>
    </w:p>
    <w:p>
      <w:pPr>
        <w:outlineLvl w:val="2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3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6" w:space="0" w:val="single"/>
          <w:right w:sz="6" w:space="0" w:val="single"/>
          <w:top w:sz="6" w:space="0" w:val="single"/>
          <w:bottom w:sz="6" w:space="0" w:val="single"/>
          <w:insideV w:sz="6" w:space="0" w:val="single"/>
          <w:insideH w:sz="6" w:space="0" w:val="single"/>
        </w:tblBorders>
      </w:tblPr>
      <w:tblGrid>
        <w:gridCol w:w="540"/>
        <w:gridCol w:w="2430"/>
        <w:gridCol w:w="1530"/>
        <w:gridCol w:w="1620"/>
        <w:gridCol w:w="1620"/>
        <w:gridCol w:w="1620"/>
      </w:tblGrid>
      <w:tr>
        <w:cantSplit w:val="true"/>
        <w:trHeight w:val="84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Этапы многолетней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спортсменов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(лет)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Минималь-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ная 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наполня-емость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(человек)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Максималь-ный  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количест-венный состав группы (человек)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Максималь-ный объем учебно- тренировоч-ной нагрузки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(учебных часов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неделю)</w:t>
            </w:r>
          </w:p>
        </w:tc>
      </w:tr>
      <w:tr>
        <w:cantSplit w:val="true"/>
        <w:trHeight w:val="24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36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 - оздоровительный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период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24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vMerge w:val="restart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подготовки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Первый год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Второй год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Третий год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vMerge w:val="restart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 -тренировочный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Первый год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Второй год </w:t>
            </w:r>
          </w:p>
        </w:tc>
        <w:tc>
          <w:tcPr>
            <w:vMerge w:val="restart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Устанавли-вается учрежде-нием по согласова-нию с учредите-лем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Третий год 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</w:t>
            </w:r>
          </w:p>
        </w:tc>
      </w:tr>
      <w:tr>
        <w:cantSplit w:val="true"/>
        <w:trHeight w:val="36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Четвертый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Пятый год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</w:t>
            </w:r>
          </w:p>
        </w:tc>
      </w:tr>
      <w:tr>
        <w:cantSplit w:val="true"/>
        <w:trHeight w:val="240" w:hRule="atLeast"/>
        <w:tc>
          <w:tcPr>
            <w:vMerge w:val="restart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vMerge w:val="restart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Совершенствова-ния спортивного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мастерства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года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</w:t>
            </w:r>
          </w:p>
        </w:tc>
      </w:tr>
      <w:tr>
        <w:cantSplit w:val="true"/>
        <w:trHeight w:val="240" w:hRule="atLeast"/>
        <w:tc>
          <w:tcPr>
            <w:vMerge w:val="continue"/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года 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</w:t>
            </w:r>
          </w:p>
        </w:tc>
      </w:tr>
      <w:tr>
        <w:cantSplit w:val="true"/>
        <w:trHeight w:val="480" w:hRule="atLeast"/>
        <w:tc>
          <w:tcPr>
            <w:tcW w:type="dxa" w:w="5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24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Высшего спортивного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мастерства</w:t>
            </w:r>
          </w:p>
        </w:tc>
        <w:tc>
          <w:tcPr>
            <w:tcW w:type="dxa" w:w="15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период</w:t>
            </w:r>
          </w:p>
        </w:tc>
        <w:tc>
          <w:tcPr>
            <w:vMerge w:val="continue"/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</w:t>
            </w:r>
          </w:p>
        </w:tc>
      </w:tr>
    </w:tbl>
    <w:p>
      <w:pPr>
        <w:outlineLvl w:val="2"/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Недельный режим учебно-тренировочной работы является максимальным и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учебно-тренировочной работы, предусмотренный указанными режимами работы, начиная с учебно-тренировочного этапа подготовки, сокращается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на 25 % в следующих случаях: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при наличии у тренера-преподавателя двух групп этапов подготовки: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учебно-тренировочного (начиная со второго года обучения);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спортивного совершенствования (весь период обучения);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высшего спортивного мастерства (весь период обучения);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превышении объема почасовой работы тренера-преподавателя, работающего на условиях совместительства, над максимальными нормами нагрузки на группу занимающихся;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оказании сторонними организациями, учреждениями услуг по предоставлению спортивных сооружений для проведения учебно-тренировочной работы в объемах менее чем установленные нормы нагрузки на группу занимающихся.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При объединении в одну группу занимающихся, разных по возрасту и спортивной подготовленности, должны выполняться следующие условия: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разница в уровнях спортивного мастерства занимающихся не должна превышать двух спортивных разрядов (званий);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количественный состав не должен превышать: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этапе высшего спортивного мастерства  –  8 человек;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этапе совершенствования спортивного мастерства – 14 человек;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учебно-тренировочном этапе – 16 человек (для занимающихся свыше двух лет) и 20 человек (для занимающихся до двух лет) – с учетом правил техники безопасности на учебно-тренировочных занятиях;</w:t>
      </w:r>
    </w:p>
    <w:p>
      <w:pPr>
        <w:outlineLvl w:val="2"/>
        <w:jc w:val="both"/>
        <w:textAlignment w:val="auto"/>
        <w:ind w:firstLine="53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учебно-тренировочных занятиях;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Перевод учащегося на следующий этап спортивной подготовки производится по результатам сдачи контрольно-переводных нормативов и оформляется приказом директора учреждения.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На этап совершенствования спортивного мастерства зачисляются спортсмены, выполнившие норматив спортивного разряда не ниже кандидата в мастера спорта России, а по игровым видам спорта – не ниже первого спортивного разряда.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На этап высшего спортивного мастерства зачисляются перспективные спортсмены, вошедшие в основной или резервный состав спортивной сборной команды субъекта и показывающие стабильные высокие результаты на уровне норматива мастера спорта России, а по игровым видам спорта – не ниже кандидата в мастера спорта России. Возраст спортсмена на этом этапе не ограничивается, если спортсмен продолжает выступать за данную спортивную школу на условиях письменного договора.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При формировании групп спортивной подготовки на этапах совершенствования спортивного мастерства и высшего спортивного мастерства списки обучающихся (спортсменов) утверждаются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право-применительные функции по контролю и надзору в сфере образования, молодежной политики, культуры и архивного дела, физической культуры и спорта, туризма, защиты прав несовершеннолетних, опеки и попечительства, государственной регистрации актов гражданского состояния.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Виды спорта распределяются по группам в следующем порядке: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видам спорта (спортивным дисциплинам), включенным во Всероссийский реестр видов спорта, но не включенным в первую и вторую группы, нормативы оплаты труда тренеров-преподавателей устанавливаются в размере на 25 % ниже норматива, установленного для первой группы видов спорта.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основного тренера-преподавателя к проведению учебно-тренировочных занятий могут привлекаться тренеры-преподаватели по смежным видам спорта (акробатике, хореографии) при условии одновременной работы со спортсменами. Оплата их труда не должна суммарно превышать 50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% от размера норматива оплаты труда, предусмотренного для основного тренера-преподавателя. </w:t>
      </w:r>
    </w:p>
    <w:p>
      <w:pPr>
        <w:outlineLvl w:val="2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  <w:titlePg/>
      <w:headerReference w:type="default" r:id="rId4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9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main?base=RLAW127;n=15563;fld=134;dst=100263" TargetMode="Externa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9</Pages>
  <Words>1942</Words>
  <Characters>11073</Characters>
  <CharactersWithSpaces>12990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kiv</dc:creator>
</cp:coreProperties>
</file>