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8"/>
        </w:rPr>
        <w:br w:type="textWrapping" w:clear="none"/>
      </w: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РАСПОРЯЖЕНИЕ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1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4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14 апреля 2011г.                № 28-р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с.Тросна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Об утверждении в новой редакции Реестра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муниципальных услуг,  предоставляемых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администрацией Троснянского района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актуализации муниципальных услуг, предоставляемых администрацией Троснянского района: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в новой редакции Реестр муниципальных услуг, предоставляемых администрацией Троснянского района ( приложение).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Распоряжение  администрации Троснянского района от 14 января 2010 года № 3-р « Об утверждения реестра муниципальных услуг( функций), представляемых администрацией Троснянского района» считать утратившим силу.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Вр.и.о. Главы администрации                                       А.И. Насонов                              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mbria Math">
    <w:family w:val="roman"/>
    <w:charset w:val="00"/>
    <w:pitch w:val="variable"/>
  </w:font>
  <w:font w:name="Cambria Math CE">
    <w:family w:val="roman"/>
    <w:charset w:val="EE"/>
    <w:pitch w:val="variable"/>
  </w:font>
  <w:font w:name="Cambria Math Greek">
    <w:family w:val="roman"/>
    <w:charset w:val="A1"/>
    <w:pitch w:val="variable"/>
  </w:font>
  <w:font w:name="Cambria Math Tur">
    <w:family w:val="roman"/>
    <w:charset w:val="A2"/>
    <w:pitch w:val="variable"/>
  </w:font>
  <w:font w:name="Cambria Math Baltic">
    <w:family w:val="roman"/>
    <w:charset w:val="BA"/>
    <w:pitch w:val="variable"/>
  </w:font>
  <w:font w:name="Cambria Math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</Pages>
  <Words>125</Words>
  <Characters>719</Characters>
  <CharactersWithSpaces>843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</cp:coreProperties>
</file>