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B42520" w:rsidRDefault="0049784C" w:rsidP="00B4252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784C" w:rsidRPr="00B42520" w:rsidRDefault="0049784C" w:rsidP="00B4252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результатам   внешней   проверки  </w:t>
      </w:r>
      <w:r w:rsidR="00F73A2D">
        <w:rPr>
          <w:rFonts w:ascii="Times New Roman" w:hAnsi="Times New Roman" w:cs="Times New Roman"/>
          <w:b/>
          <w:sz w:val="28"/>
          <w:szCs w:val="28"/>
          <w:lang w:eastAsia="ru-RU"/>
        </w:rPr>
        <w:t>годового</w:t>
      </w: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 отчёта</w:t>
      </w:r>
    </w:p>
    <w:p w:rsidR="0049784C" w:rsidRPr="00B42520" w:rsidRDefault="0049784C" w:rsidP="00B4252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165CF7"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Муральского</w:t>
      </w:r>
      <w:proofErr w:type="spellEnd"/>
      <w:r w:rsidR="00FB3008"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801E3"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425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42520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B42520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>пункта2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B4252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30D" w:rsidRPr="00B4252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630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утверждённого решением </w:t>
      </w:r>
      <w:proofErr w:type="spellStart"/>
      <w:r w:rsidR="00B9630D" w:rsidRPr="00B4252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, проведена  внешняя   проверка   годового   отчёта   об   исполнении   бюджета 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 )</w:t>
      </w:r>
      <w:proofErr w:type="gramStart"/>
      <w:r w:rsidR="00E1063F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аправленного в Контрольно-ревизионную комиссию </w:t>
      </w:r>
      <w:proofErr w:type="spellStart"/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F55E9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E1063F" w:rsidRPr="00B42520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№</w:t>
      </w:r>
      <w:r w:rsidR="00CB631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45</w:t>
      </w:r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CB631B" w:rsidRPr="00B42520">
        <w:rPr>
          <w:rFonts w:ascii="Times New Roman" w:hAnsi="Times New Roman" w:cs="Times New Roman"/>
          <w:sz w:val="24"/>
          <w:szCs w:val="24"/>
          <w:lang w:eastAsia="ru-RU"/>
        </w:rPr>
        <w:t>27 декабря</w:t>
      </w:r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2011 года «Об утверждении Положения о бюджетном процессе в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Муравльском</w:t>
      </w:r>
      <w:proofErr w:type="spellEnd"/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области» утверждено Положение о бюджетном процессе в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Муравльском</w:t>
      </w:r>
      <w:proofErr w:type="spellEnd"/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 которое не отвечаем  требованиям Бюджетного кодекса Российской Федерации.</w:t>
      </w:r>
      <w:r w:rsidR="0049784C" w:rsidRPr="00B42520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="0049784C" w:rsidRPr="00B42520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Pr="00B42520">
        <w:rPr>
          <w:rFonts w:ascii="Times New Roman" w:hAnsi="Times New Roman" w:cs="Times New Roman"/>
          <w:sz w:val="24"/>
          <w:szCs w:val="24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B4252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9784C" w:rsidRPr="00B42520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B9630D" w:rsidRPr="00B42520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  <w:r w:rsidR="0049784C" w:rsidRPr="00B42520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B42520">
        <w:rPr>
          <w:rFonts w:ascii="Times New Roman" w:hAnsi="Times New Roman" w:cs="Times New Roman"/>
          <w:sz w:val="24"/>
          <w:szCs w:val="24"/>
        </w:rPr>
        <w:t>2</w:t>
      </w:r>
      <w:r w:rsidRPr="00B42520">
        <w:rPr>
          <w:rFonts w:ascii="Times New Roman" w:hAnsi="Times New Roman" w:cs="Times New Roman"/>
          <w:sz w:val="24"/>
          <w:szCs w:val="24"/>
        </w:rPr>
        <w:t>7</w:t>
      </w:r>
      <w:r w:rsidR="0049784C" w:rsidRPr="00B42520">
        <w:rPr>
          <w:rFonts w:ascii="Times New Roman" w:hAnsi="Times New Roman" w:cs="Times New Roman"/>
          <w:sz w:val="24"/>
          <w:szCs w:val="24"/>
        </w:rPr>
        <w:t>.12.20</w:t>
      </w:r>
      <w:r w:rsidR="00012B78" w:rsidRPr="00B42520">
        <w:rPr>
          <w:rFonts w:ascii="Times New Roman" w:hAnsi="Times New Roman" w:cs="Times New Roman"/>
          <w:sz w:val="24"/>
          <w:szCs w:val="24"/>
        </w:rPr>
        <w:t>1</w:t>
      </w:r>
      <w:r w:rsidRPr="00B42520">
        <w:rPr>
          <w:rFonts w:ascii="Times New Roman" w:hAnsi="Times New Roman" w:cs="Times New Roman"/>
          <w:sz w:val="24"/>
          <w:szCs w:val="24"/>
        </w:rPr>
        <w:t>1</w:t>
      </w:r>
      <w:r w:rsidR="0049784C" w:rsidRPr="00B42520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B42520">
        <w:rPr>
          <w:rFonts w:ascii="Times New Roman" w:hAnsi="Times New Roman" w:cs="Times New Roman"/>
          <w:sz w:val="24"/>
          <w:szCs w:val="24"/>
        </w:rPr>
        <w:t>4</w:t>
      </w:r>
      <w:r w:rsidR="0049784C" w:rsidRPr="00B42520">
        <w:rPr>
          <w:rFonts w:ascii="Times New Roman" w:hAnsi="Times New Roman" w:cs="Times New Roman"/>
          <w:sz w:val="24"/>
          <w:szCs w:val="24"/>
        </w:rPr>
        <w:t>1 «О  бюджете</w:t>
      </w:r>
      <w:r w:rsidR="00012B78" w:rsidRPr="00B4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012B78" w:rsidRPr="00B425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784C" w:rsidRPr="00B42520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B42520">
        <w:rPr>
          <w:rFonts w:ascii="Times New Roman" w:hAnsi="Times New Roman" w:cs="Times New Roman"/>
          <w:sz w:val="24"/>
          <w:szCs w:val="24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B42520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Pr="00B42520">
        <w:rPr>
          <w:rFonts w:ascii="Times New Roman" w:hAnsi="Times New Roman" w:cs="Times New Roman"/>
          <w:sz w:val="24"/>
          <w:szCs w:val="24"/>
        </w:rPr>
        <w:t>3</w:t>
      </w:r>
      <w:r w:rsidR="00012B78" w:rsidRPr="00B42520">
        <w:rPr>
          <w:rFonts w:ascii="Times New Roman" w:hAnsi="Times New Roman" w:cs="Times New Roman"/>
          <w:sz w:val="24"/>
          <w:szCs w:val="24"/>
        </w:rPr>
        <w:t>-201</w:t>
      </w:r>
      <w:r w:rsidRPr="00B42520">
        <w:rPr>
          <w:rFonts w:ascii="Times New Roman" w:hAnsi="Times New Roman" w:cs="Times New Roman"/>
          <w:sz w:val="24"/>
          <w:szCs w:val="24"/>
        </w:rPr>
        <w:t>4</w:t>
      </w:r>
      <w:r w:rsidR="00012B78" w:rsidRPr="00B42520">
        <w:rPr>
          <w:rFonts w:ascii="Times New Roman" w:hAnsi="Times New Roman" w:cs="Times New Roman"/>
          <w:sz w:val="24"/>
          <w:szCs w:val="24"/>
        </w:rPr>
        <w:t xml:space="preserve"> годы</w:t>
      </w:r>
      <w:r w:rsidR="0049784C" w:rsidRPr="00B42520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E1063F" w:rsidRDefault="000562AD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063F" w:rsidRPr="00B4252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62AD" w:rsidRPr="00B42520" w:rsidRDefault="000562AD" w:rsidP="000562A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п.2 статьи 14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Муравльском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отчет об исполнении местного бюджета за первый квартал, полугодие и 9 месяцев  текущего финансового года утверждается администрацией поселения и доводится  до сведения депутатов. В поселении отчеты утверждены </w:t>
      </w:r>
      <w:r w:rsidR="00D9351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</w:t>
      </w:r>
      <w:r w:rsidR="00D9351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</w:t>
      </w:r>
      <w:r w:rsidR="00D9351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</w:p>
    <w:p w:rsidR="000562AD" w:rsidRDefault="00067FB8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Поправки в бюджет 2012 года утверждены решением сельского Совета народных депутатов  от 19.04.2013 года № 95,</w:t>
      </w:r>
      <w:r w:rsidR="002512ED">
        <w:rPr>
          <w:rFonts w:ascii="Times New Roman" w:hAnsi="Times New Roman" w:cs="Times New Roman"/>
          <w:sz w:val="24"/>
          <w:szCs w:val="24"/>
        </w:rPr>
        <w:t xml:space="preserve"> т.е. после 1.01.2013 года,</w:t>
      </w:r>
      <w:r>
        <w:rPr>
          <w:rFonts w:ascii="Times New Roman" w:hAnsi="Times New Roman" w:cs="Times New Roman"/>
          <w:sz w:val="24"/>
          <w:szCs w:val="24"/>
        </w:rPr>
        <w:t xml:space="preserve"> что является грубым нарушением Положения о бюджетном процессе.</w:t>
      </w:r>
    </w:p>
    <w:p w:rsidR="00D0340D" w:rsidRDefault="00D0340D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образованием муниципального бюджетного учреждения по культуре не внесены изменения в приложение 3 «Распределение ассигнований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2012 год по разделам, подразделам и целевым статьям и видам расходов функциональной классификации расходов» к решению «О внесении изменений и дополнений в решение сельского Совета народных депутатов</w:t>
      </w:r>
      <w:r w:rsidR="00A7303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год и плановый период 2013-2014 годы» от 27.12.2011 года № 41</w:t>
      </w:r>
      <w:r w:rsidR="00A7303B">
        <w:rPr>
          <w:rFonts w:ascii="Times New Roman" w:hAnsi="Times New Roman" w:cs="Times New Roman"/>
          <w:sz w:val="24"/>
          <w:szCs w:val="24"/>
        </w:rPr>
        <w:t xml:space="preserve"> не внесены изменения  по  подразделу 0801 «Культура» целевой статье 4400000 «Дворцы и дома культуры, другие учреждения культуры</w:t>
      </w:r>
      <w:proofErr w:type="gramStart"/>
      <w:r w:rsidR="00A7303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A7303B">
        <w:rPr>
          <w:rFonts w:ascii="Times New Roman" w:hAnsi="Times New Roman" w:cs="Times New Roman"/>
          <w:sz w:val="24"/>
          <w:szCs w:val="24"/>
        </w:rPr>
        <w:t>виду расходов 611 «Субсидии бюджетным учреждениям на финансовое обеспечение государственного (муниципального) задания на оказание государственных (</w:t>
      </w:r>
      <w:r w:rsidR="002E4F6E">
        <w:rPr>
          <w:rFonts w:ascii="Times New Roman" w:hAnsi="Times New Roman" w:cs="Times New Roman"/>
          <w:sz w:val="24"/>
          <w:szCs w:val="24"/>
        </w:rPr>
        <w:t xml:space="preserve">муниципальных) услуг (выполнение работ).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D0" w:rsidRDefault="00150CDB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42520">
        <w:rPr>
          <w:rStyle w:val="highlight"/>
          <w:rFonts w:ascii="Times New Roman" w:hAnsi="Times New Roman" w:cs="Times New Roman"/>
          <w:sz w:val="24"/>
          <w:szCs w:val="24"/>
        </w:rPr>
        <w:t xml:space="preserve">          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годовой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бюджетной отчетности 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E1063F" w:rsidRPr="00B42520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B42520" w:rsidRPr="00B42520">
        <w:rPr>
          <w:rFonts w:ascii="Times New Roman" w:hAnsi="Times New Roman" w:cs="Times New Roman"/>
          <w:sz w:val="24"/>
          <w:szCs w:val="24"/>
        </w:rPr>
        <w:t>2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год (далее – бюджетная отчетность) показала, что бюджетная отчетность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сельским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поселением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представлена  не в полном  объеме, предусмотренном </w:t>
      </w:r>
      <w:r w:rsidR="00B814D1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Fonts w:ascii="Times New Roman" w:hAnsi="Times New Roman" w:cs="Times New Roman"/>
          <w:sz w:val="24"/>
          <w:szCs w:val="24"/>
        </w:rPr>
        <w:t>п. 1</w:t>
      </w:r>
      <w:r w:rsidR="00062622" w:rsidRPr="00B42520">
        <w:rPr>
          <w:rFonts w:ascii="Times New Roman" w:hAnsi="Times New Roman" w:cs="Times New Roman"/>
          <w:sz w:val="24"/>
          <w:szCs w:val="24"/>
        </w:rPr>
        <w:t>2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. Инструкции о порядке составления и представления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E1063F" w:rsidRPr="00B425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063F" w:rsidRPr="00B42520">
        <w:rPr>
          <w:rFonts w:ascii="Times New Roman" w:hAnsi="Times New Roman" w:cs="Times New Roman"/>
          <w:sz w:val="24"/>
          <w:szCs w:val="24"/>
        </w:rPr>
        <w:t xml:space="preserve"> квартальной</w:t>
      </w:r>
      <w:r w:rsidR="00B814D1" w:rsidRPr="00B42520">
        <w:rPr>
          <w:rFonts w:ascii="Times New Roman" w:hAnsi="Times New Roman" w:cs="Times New Roman"/>
          <w:sz w:val="24"/>
          <w:szCs w:val="24"/>
        </w:rPr>
        <w:t xml:space="preserve"> и месячной 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 отчетности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</w:t>
      </w:r>
      <w:r w:rsidR="00E1063F" w:rsidRPr="00B42520">
        <w:rPr>
          <w:rFonts w:ascii="Times New Roman" w:hAnsi="Times New Roman" w:cs="Times New Roman"/>
          <w:sz w:val="24"/>
          <w:szCs w:val="24"/>
        </w:rPr>
        <w:lastRenderedPageBreak/>
        <w:t>Федерации (далее – Инструкция), утвержденной приказом Министерства финансов Российской Федерации от 1</w:t>
      </w:r>
      <w:r w:rsidR="00B814D1" w:rsidRPr="00B42520">
        <w:rPr>
          <w:rFonts w:ascii="Times New Roman" w:hAnsi="Times New Roman" w:cs="Times New Roman"/>
          <w:sz w:val="24"/>
          <w:szCs w:val="24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B42520">
        <w:rPr>
          <w:rFonts w:ascii="Times New Roman" w:hAnsi="Times New Roman" w:cs="Times New Roman"/>
          <w:sz w:val="24"/>
          <w:szCs w:val="24"/>
        </w:rPr>
        <w:t>.</w:t>
      </w:r>
    </w:p>
    <w:p w:rsidR="00B42520" w:rsidRPr="00B42520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Разделительный баланс и отчетная документация по муниципальному бюджетному учреждению не представлена для проведения внешней проверки.</w:t>
      </w:r>
    </w:p>
    <w:p w:rsidR="00E1063F" w:rsidRPr="00B42520" w:rsidRDefault="00B42520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YANDEX_35"/>
      <w:bookmarkStart w:id="1" w:name="YANDEX_36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FB8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="000562AD">
        <w:rPr>
          <w:rFonts w:ascii="Times New Roman" w:hAnsi="Times New Roman" w:cs="Times New Roman"/>
          <w:sz w:val="24"/>
          <w:szCs w:val="24"/>
        </w:rPr>
        <w:t>решения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B42520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год</w:t>
      </w:r>
      <w:r w:rsidR="00405A4D" w:rsidRPr="00B42520">
        <w:rPr>
          <w:rFonts w:ascii="Times New Roman" w:hAnsi="Times New Roman" w:cs="Times New Roman"/>
          <w:sz w:val="24"/>
          <w:szCs w:val="24"/>
        </w:rPr>
        <w:t xml:space="preserve">, проект решения об исполнении бюджета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405A4D" w:rsidRPr="00B42520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 неправильно</w:t>
      </w:r>
      <w:r w:rsidR="00440A3F" w:rsidRPr="00B42520">
        <w:rPr>
          <w:rFonts w:ascii="Times New Roman" w:hAnsi="Times New Roman" w:cs="Times New Roman"/>
          <w:sz w:val="24"/>
          <w:szCs w:val="24"/>
        </w:rPr>
        <w:t>, допущены неточности при составлении приложений к решению сессии</w:t>
      </w:r>
      <w:r w:rsidR="00405A4D" w:rsidRPr="00B42520">
        <w:rPr>
          <w:rFonts w:ascii="Times New Roman" w:hAnsi="Times New Roman" w:cs="Times New Roman"/>
          <w:sz w:val="24"/>
          <w:szCs w:val="24"/>
        </w:rPr>
        <w:t>.</w:t>
      </w:r>
      <w:r w:rsidR="00E1063F" w:rsidRPr="00B42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4C" w:rsidRPr="002D229C" w:rsidRDefault="0049784C" w:rsidP="002D229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29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49784C" w:rsidRPr="00B42520" w:rsidRDefault="00D61F55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8142C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1 года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B425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42520" w:rsidRDefault="00067FB8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В нарушени</w:t>
      </w:r>
      <w:r w:rsidR="002D229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ст. 185 БК РФ  проект  бюджета  на 201</w:t>
      </w:r>
      <w:r w:rsidR="00F32E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 внесен на рассмотрение  представительного органа  администрацией </w:t>
      </w:r>
      <w:r w:rsidR="00283723" w:rsidRPr="00B4252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позднее 15 ноября. </w:t>
      </w:r>
    </w:p>
    <w:p w:rsidR="0049784C" w:rsidRPr="00B42520" w:rsidRDefault="00067FB8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в решение о    бюджете 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течение 2012 года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внесено </w:t>
      </w:r>
      <w:r w:rsidR="00F32E0D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="00F32E0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Поправки в бюджет 2012 года утверждены решением сельского Совета народных депутатов  от 19.04.2013 года № 95 </w:t>
      </w:r>
      <w:r w:rsidR="002512ED">
        <w:rPr>
          <w:rFonts w:ascii="Times New Roman" w:hAnsi="Times New Roman" w:cs="Times New Roman"/>
          <w:sz w:val="24"/>
          <w:szCs w:val="24"/>
        </w:rPr>
        <w:t>в сторону увеличения по доходам в сумме 205,6 тыс. рублей и по расходам в сумме 209,2 тыс. рублей</w:t>
      </w:r>
      <w:r>
        <w:rPr>
          <w:rFonts w:ascii="Times New Roman" w:hAnsi="Times New Roman" w:cs="Times New Roman"/>
          <w:sz w:val="24"/>
          <w:szCs w:val="24"/>
        </w:rPr>
        <w:t>. 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поправок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доходы местного  бюджета  были утверждены в сумме 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12ED">
        <w:rPr>
          <w:rFonts w:ascii="Times New Roman" w:hAnsi="Times New Roman" w:cs="Times New Roman"/>
          <w:sz w:val="24"/>
          <w:szCs w:val="24"/>
          <w:lang w:eastAsia="ru-RU"/>
        </w:rPr>
        <w:t>281,7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12ED">
        <w:rPr>
          <w:rFonts w:ascii="Times New Roman" w:hAnsi="Times New Roman" w:cs="Times New Roman"/>
          <w:sz w:val="24"/>
          <w:szCs w:val="24"/>
          <w:lang w:eastAsia="ru-RU"/>
        </w:rPr>
        <w:t>285,3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2512ED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фицит составил 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2E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1,9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процент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 годового  объёма доходов</w:t>
      </w:r>
      <w:r w:rsidR="0049784C"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без учёта утвержденного объёма безвозмездных поступлений (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87,4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A4D" w:rsidRPr="00B4252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оходная часть  увеличена на 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 xml:space="preserve">437,7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тыс. рублей (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51,9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плану):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собственные доходы были </w:t>
      </w:r>
      <w:r w:rsidR="00283723" w:rsidRPr="00B4252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величены</w:t>
      </w:r>
      <w:r w:rsidR="00283723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 xml:space="preserve">9,5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428,2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Исполнение общих показателей местного бюджета за 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 xml:space="preserve"> 2011-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1E5FF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Таблица 1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588"/>
        <w:gridCol w:w="1104"/>
        <w:gridCol w:w="867"/>
      </w:tblGrid>
      <w:tr w:rsidR="0049784C" w:rsidRPr="00B42520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1E5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5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9833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83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83723" w:rsidRPr="00B42520" w:rsidTr="001E5FFF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283723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283723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B42520" w:rsidTr="001E5FFF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9833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1E5FFF" w:rsidRPr="00B42520" w:rsidTr="001E5FFF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1E5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98339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98339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325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98339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98339C" w:rsidP="009833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1E5FFF" w:rsidRPr="00B42520" w:rsidTr="001E5FFF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1E5FF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931F2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3257B3" w:rsidP="003257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98339C" w:rsidP="009833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98339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1E5FFF" w:rsidRPr="00B42520" w:rsidTr="001E5FFF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EC0B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3257B3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FF" w:rsidRPr="00B42520" w:rsidRDefault="001E5FF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   бюджета  по доходам согласно  Отчёту  составило </w:t>
      </w:r>
      <w:r w:rsidR="006A7C02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297,3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94,2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6A7C02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284,9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proofErr w:type="spellStart"/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– 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12,4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При  исполнении  местного  бюджета  в 201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доходная часть местного   бюджета  у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величилась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142,4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при запланированном дефиците  бюджета  в сумме 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фактически местный  бюджет  исполнен с </w:t>
      </w:r>
      <w:proofErr w:type="spellStart"/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фицитом</w:t>
      </w:r>
      <w:proofErr w:type="spellEnd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12,4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784C" w:rsidRDefault="0049784C" w:rsidP="00EC0B5A">
      <w:pPr>
        <w:pStyle w:val="a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C0B5A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местного  бюджета  по доходам составило 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297,3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257B3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257B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в том числе: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0B5A">
        <w:rPr>
          <w:rFonts w:ascii="Times New Roman" w:hAnsi="Times New Roman" w:cs="Times New Roman"/>
          <w:sz w:val="24"/>
          <w:szCs w:val="24"/>
          <w:lang w:eastAsia="ru-RU"/>
        </w:rPr>
        <w:t>203,1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257B3">
        <w:rPr>
          <w:rFonts w:ascii="Times New Roman" w:hAnsi="Times New Roman" w:cs="Times New Roman"/>
          <w:sz w:val="24"/>
          <w:szCs w:val="24"/>
          <w:lang w:eastAsia="ru-RU"/>
        </w:rPr>
        <w:t>8,3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257B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перевыполнение плановых показателей составило </w:t>
      </w:r>
      <w:r w:rsidR="00717149">
        <w:rPr>
          <w:rFonts w:ascii="Times New Roman" w:hAnsi="Times New Roman" w:cs="Times New Roman"/>
          <w:sz w:val="24"/>
          <w:szCs w:val="24"/>
          <w:lang w:eastAsia="ru-RU"/>
        </w:rPr>
        <w:t>15,6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17149">
        <w:rPr>
          <w:rFonts w:ascii="Times New Roman" w:hAnsi="Times New Roman" w:cs="Times New Roman"/>
          <w:sz w:val="24"/>
          <w:szCs w:val="24"/>
          <w:lang w:eastAsia="ru-RU"/>
        </w:rPr>
        <w:t>94,2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7171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804DF9">
        <w:rPr>
          <w:rFonts w:ascii="Times New Roman" w:hAnsi="Times New Roman" w:cs="Times New Roman"/>
          <w:sz w:val="24"/>
          <w:szCs w:val="24"/>
          <w:lang w:eastAsia="ru-RU"/>
        </w:rPr>
        <w:t>10,4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5,3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27246B" w:rsidRPr="00B425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B425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3A4AB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71714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7171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годах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B42520" w:rsidTr="007E6254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7171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1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7171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1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B42520" w:rsidRDefault="007E6254" w:rsidP="007171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17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B42520" w:rsidTr="007E6254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B42520" w:rsidRDefault="007E6254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170EF0" w:rsidRPr="00B42520" w:rsidTr="007E6254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849C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849C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849C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70EF0" w:rsidRPr="00B42520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6402F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9B1AB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170EF0" w:rsidRPr="00B42520" w:rsidTr="007E6254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170EF0" w:rsidRPr="00B42520" w:rsidTr="007E6254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0EF0" w:rsidRPr="00B42520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170EF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0EF0" w:rsidRPr="00B42520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0EF0" w:rsidRPr="00B42520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0EF0" w:rsidRPr="00B42520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0EF0" w:rsidRPr="00B42520" w:rsidTr="007E6254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иные </w:t>
            </w:r>
            <w:proofErr w:type="spellStart"/>
            <w:proofErr w:type="gram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меж-бюджетные</w:t>
            </w:r>
            <w:proofErr w:type="spellEnd"/>
            <w:proofErr w:type="gram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804DF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0EF0" w:rsidRPr="00B42520" w:rsidTr="007E6254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70EF0" w:rsidP="00804D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F0" w:rsidRPr="00B42520" w:rsidRDefault="00170EF0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849C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849C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849C8" w:rsidP="001849C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F0" w:rsidRPr="00B42520" w:rsidRDefault="001849C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</w:tbl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EB269A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</w:p>
    <w:p w:rsidR="00CD012E" w:rsidRPr="00B42520" w:rsidRDefault="0027246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Представленные в таблице 2 данные свидетельствуют о том, что в 20</w:t>
      </w:r>
      <w:r w:rsidR="000664E0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B4252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ось снижение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рост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доходов,   доля которых,  в структуре общих доходов, состав</w:t>
      </w:r>
      <w:r w:rsidR="000664E0" w:rsidRPr="00B4252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B425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11,6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%, по сравнению с 20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составля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6,6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%).  В 201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собственных доходов в общей структуре доходов 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5,7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%., что свидетельствует о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б отрицательной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тенденции 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снижения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собственных доходов  бюджета 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CD012E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2 г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оду 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2690D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="00CD012E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42520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83436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–</w:t>
      </w:r>
      <w:r w:rsidR="00834368">
        <w:rPr>
          <w:rFonts w:ascii="Times New Roman" w:hAnsi="Times New Roman" w:cs="Times New Roman"/>
          <w:sz w:val="24"/>
          <w:szCs w:val="24"/>
          <w:lang w:eastAsia="ru-RU"/>
        </w:rPr>
        <w:t>83,4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36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34368">
        <w:rPr>
          <w:rFonts w:ascii="Times New Roman" w:hAnsi="Times New Roman" w:cs="Times New Roman"/>
          <w:sz w:val="24"/>
          <w:szCs w:val="24"/>
          <w:lang w:eastAsia="ru-RU"/>
        </w:rPr>
        <w:t>8,4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9301A1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49784C" w:rsidRPr="00B42520" w:rsidRDefault="00CD012E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17344B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1734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992"/>
        <w:gridCol w:w="1135"/>
        <w:gridCol w:w="992"/>
        <w:gridCol w:w="993"/>
        <w:gridCol w:w="1131"/>
        <w:gridCol w:w="850"/>
        <w:gridCol w:w="708"/>
        <w:gridCol w:w="819"/>
      </w:tblGrid>
      <w:tr w:rsidR="00330CD8" w:rsidRPr="00B42520" w:rsidTr="009D7726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834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B42520" w:rsidRDefault="00330CD8" w:rsidP="0083436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834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8343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34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0CD8" w:rsidRPr="00B42520" w:rsidTr="00372789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B42520" w:rsidRDefault="00330CD8" w:rsidP="008267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8267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834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2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B42520" w:rsidRDefault="00330CD8" w:rsidP="008267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834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826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0CD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83436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834368" w:rsidRPr="00B42520" w:rsidTr="00372789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физ.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15 раз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8267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368" w:rsidRPr="00B42520" w:rsidTr="00372789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267FE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368" w:rsidRPr="00B42520" w:rsidTr="00372789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A841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834368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9E182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368" w:rsidRPr="00B42520" w:rsidRDefault="009E182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</w:tr>
    </w:tbl>
    <w:p w:rsidR="008267FE" w:rsidRDefault="008267FE" w:rsidP="00B42520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267FE" w:rsidRDefault="008267FE" w:rsidP="00B42520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267FE" w:rsidRDefault="008267FE" w:rsidP="00B42520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9784C" w:rsidRDefault="008267FE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7F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                    </w:t>
      </w:r>
      <w:r w:rsidR="00372789" w:rsidRPr="008267F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</w:t>
      </w:r>
      <w:r w:rsidR="0049784C" w:rsidRPr="008267F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алоговые доходы</w:t>
      </w:r>
      <w:r w:rsidR="0049784C" w:rsidRPr="008267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67FE" w:rsidRPr="008267FE" w:rsidRDefault="008267FE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5B2447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34,3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72789" w:rsidRPr="00B42520"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84,9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к уровню 20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5B2447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130,3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  процент</w:t>
      </w:r>
      <w:r w:rsidR="005B2447" w:rsidRPr="00B425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D42B1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Перевыполнение плана </w:t>
      </w:r>
      <w:r w:rsidR="00ED42B1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поправок в бюджет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достигнуто только </w:t>
      </w:r>
      <w:r w:rsidR="00F84215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налог</w:t>
      </w:r>
      <w:r w:rsidR="00F84215" w:rsidRPr="00B4252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 доходы физических лиц (1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15,6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F84215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 xml:space="preserve">65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,  земельный налог – </w:t>
      </w:r>
      <w:r w:rsidR="00F84215"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3,2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государственная пошлина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5,7</w:t>
      </w:r>
      <w:r w:rsidR="00F84215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ED42B1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 В 201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 поступило на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31,2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, чем в 20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18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году. </w:t>
      </w:r>
      <w:r w:rsidR="005C7EE9">
        <w:rPr>
          <w:rFonts w:ascii="Times New Roman" w:hAnsi="Times New Roman" w:cs="Times New Roman"/>
          <w:sz w:val="24"/>
          <w:szCs w:val="24"/>
          <w:lang w:eastAsia="ru-RU"/>
        </w:rPr>
        <w:t xml:space="preserve">Выше 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201</w:t>
      </w:r>
      <w:r w:rsidR="005C7EE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составили поступления по</w:t>
      </w:r>
      <w:r w:rsidR="005C7EE9">
        <w:rPr>
          <w:rFonts w:ascii="Times New Roman" w:hAnsi="Times New Roman" w:cs="Times New Roman"/>
          <w:sz w:val="24"/>
          <w:szCs w:val="24"/>
          <w:lang w:eastAsia="ru-RU"/>
        </w:rPr>
        <w:t xml:space="preserve"> НДФЛ на сумму 11,8 тыс. рублей, по 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земельному налогу на </w:t>
      </w:r>
      <w:r w:rsidR="005C7EE9">
        <w:rPr>
          <w:rFonts w:ascii="Times New Roman" w:hAnsi="Times New Roman" w:cs="Times New Roman"/>
          <w:sz w:val="24"/>
          <w:szCs w:val="24"/>
          <w:lang w:eastAsia="ru-RU"/>
        </w:rPr>
        <w:t>7,9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5C7EE9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налогу на имущество на 7,1 тыс. рублей, 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 по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пошлин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е на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3,3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proofErr w:type="gramStart"/>
      <w:r w:rsidR="009B7330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9784C" w:rsidRPr="00B42520" w:rsidRDefault="00A777ED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784C"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Налог на доходы физических лиц.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87,3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>
        <w:rPr>
          <w:rFonts w:ascii="Times New Roman" w:hAnsi="Times New Roman" w:cs="Times New Roman"/>
          <w:sz w:val="24"/>
          <w:szCs w:val="24"/>
          <w:lang w:eastAsia="ru-RU"/>
        </w:rPr>
        <w:t>16,4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плану и 1</w:t>
      </w:r>
      <w:r>
        <w:rPr>
          <w:rFonts w:ascii="Times New Roman" w:hAnsi="Times New Roman" w:cs="Times New Roman"/>
          <w:sz w:val="24"/>
          <w:szCs w:val="24"/>
          <w:lang w:eastAsia="ru-RU"/>
        </w:rPr>
        <w:t>15,6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уточнённому плану, перевыполнение  составило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11,8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Земельный налог.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31,2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45,9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B425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C006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уровнем 20</w:t>
      </w:r>
      <w:r w:rsidR="00CC006B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поступления у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 xml:space="preserve">величилась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 на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 xml:space="preserve"> 7,9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F84215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133,9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 процента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7,6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в сумме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C006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84215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A777ED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A777E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Pr="00A777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FF4C32" w:rsidRPr="00B4252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авльского</w:t>
      </w:r>
      <w:proofErr w:type="spellEnd"/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исполнен в сумме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 xml:space="preserve"> 68,8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1,5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запланированного объема на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 В общей сумме неналоговых доходов  доходы от использования имущества, находящегося в муниципальной собственности составляют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35,9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%,  доходы от </w:t>
      </w:r>
      <w:r w:rsidR="00A777ED">
        <w:rPr>
          <w:rFonts w:ascii="Times New Roman" w:hAnsi="Times New Roman" w:cs="Times New Roman"/>
          <w:sz w:val="24"/>
          <w:szCs w:val="24"/>
          <w:lang w:eastAsia="ru-RU"/>
        </w:rPr>
        <w:t>продажи земли -44 %,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3E6538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  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24,7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  на</w:t>
      </w:r>
      <w:r w:rsidR="004B7521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13,4</w:t>
      </w:r>
      <w:r w:rsidR="00D87A2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D87A28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утвержденного плана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4B7521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и доходы от сдачи в аренду муниципального имущества.</w:t>
      </w:r>
    </w:p>
    <w:p w:rsidR="000F6ECC" w:rsidRPr="00B42520" w:rsidRDefault="000F6EC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Доходы от продажи земли составили 30,3 тыс. рублей при уточненном плане 30 тыс. рублей. </w:t>
      </w:r>
    </w:p>
    <w:p w:rsidR="00E0404F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B42520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   </w:t>
      </w:r>
      <w:r w:rsidR="00E0404F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(самообложение)  составили 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13,8</w:t>
      </w:r>
      <w:r w:rsidR="00E0404F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4B7521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02,2</w:t>
      </w:r>
      <w:r w:rsidR="00E0404F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первоначально запланированной суммы и </w:t>
      </w:r>
      <w:r w:rsidR="004B7521" w:rsidRPr="00B4252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F6ECC">
        <w:rPr>
          <w:rFonts w:ascii="Times New Roman" w:hAnsi="Times New Roman" w:cs="Times New Roman"/>
          <w:sz w:val="24"/>
          <w:szCs w:val="24"/>
          <w:lang w:eastAsia="ru-RU"/>
        </w:rPr>
        <w:t>2,2</w:t>
      </w:r>
      <w:r w:rsidR="00E0404F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уточненного плана.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6E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 Безвозмездные поступления </w:t>
      </w:r>
    </w:p>
    <w:p w:rsidR="000F6ECC" w:rsidRPr="000F6ECC" w:rsidRDefault="000F6EC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B42520" w:rsidRDefault="000F6EC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«О  бюджете 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4B7521" w:rsidRPr="00B42520">
        <w:rPr>
          <w:rFonts w:ascii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hAnsi="Times New Roman" w:cs="Times New Roman"/>
          <w:sz w:val="24"/>
          <w:szCs w:val="24"/>
          <w:lang w:eastAsia="ru-RU"/>
        </w:rPr>
        <w:t>6,1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094,2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428,1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94,2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5047A9" w:rsidRPr="00B4252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32CC4">
        <w:rPr>
          <w:rFonts w:ascii="Times New Roman" w:hAnsi="Times New Roman" w:cs="Times New Roman"/>
          <w:sz w:val="24"/>
          <w:szCs w:val="24"/>
          <w:lang w:eastAsia="ru-RU"/>
        </w:rPr>
        <w:t>94,2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D32CC4">
        <w:rPr>
          <w:rFonts w:ascii="Times New Roman" w:hAnsi="Times New Roman" w:cs="Times New Roman"/>
          <w:sz w:val="24"/>
          <w:szCs w:val="24"/>
          <w:lang w:eastAsia="ru-RU"/>
        </w:rPr>
        <w:t xml:space="preserve"> 637,8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5047A9" w:rsidRPr="00B42520" w:rsidRDefault="005047A9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D32CC4">
        <w:rPr>
          <w:rFonts w:ascii="Times New Roman" w:hAnsi="Times New Roman" w:cs="Times New Roman"/>
          <w:sz w:val="24"/>
          <w:szCs w:val="24"/>
          <w:lang w:eastAsia="ru-RU"/>
        </w:rPr>
        <w:t>292,7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D32CC4" w:rsidRDefault="002F10A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субсидий бюджетам поселений – 130,4 тыс. рублей;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F10A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- иные межбюджетные трансферты – </w:t>
      </w:r>
      <w:r w:rsidR="002F10A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2F10A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предыдущим периодом произошло 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безвозмездных поступлений на </w:t>
      </w:r>
      <w:r w:rsidR="002F10AB">
        <w:rPr>
          <w:rFonts w:ascii="Times New Roman" w:hAnsi="Times New Roman" w:cs="Times New Roman"/>
          <w:sz w:val="24"/>
          <w:szCs w:val="24"/>
          <w:lang w:eastAsia="ru-RU"/>
        </w:rPr>
        <w:t>73,5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Доля безвозмездных поступлений </w:t>
      </w:r>
      <w:r w:rsidR="002F10AB">
        <w:rPr>
          <w:rFonts w:ascii="Times New Roman" w:hAnsi="Times New Roman" w:cs="Times New Roman"/>
          <w:sz w:val="24"/>
          <w:szCs w:val="24"/>
          <w:lang w:eastAsia="ru-RU"/>
        </w:rPr>
        <w:t>уменьшилась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10AB">
        <w:rPr>
          <w:rFonts w:ascii="Times New Roman" w:hAnsi="Times New Roman" w:cs="Times New Roman"/>
          <w:sz w:val="24"/>
          <w:szCs w:val="24"/>
          <w:lang w:eastAsia="ru-RU"/>
        </w:rPr>
        <w:t>8,4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% до 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10AB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%  по сравнению с прошлым годом. </w:t>
      </w:r>
    </w:p>
    <w:p w:rsidR="0049784C" w:rsidRPr="0017344B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17344B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 </w:t>
      </w:r>
      <w:r w:rsidRPr="001734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3A0A51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B54C9">
        <w:rPr>
          <w:rFonts w:ascii="Times New Roman" w:hAnsi="Times New Roman" w:cs="Times New Roman"/>
          <w:sz w:val="24"/>
          <w:szCs w:val="24"/>
          <w:lang w:eastAsia="ru-RU"/>
        </w:rPr>
        <w:t>284,9</w:t>
      </w:r>
      <w:r w:rsidR="003A0A51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A0A51" w:rsidRPr="00B42520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A0A51" w:rsidRPr="00B4252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A0A51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разделам.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Наибольший удельный вес в структуре расходов занимают разделы  «Культура и кинематография» </w:t>
      </w:r>
      <w:proofErr w:type="gramStart"/>
      <w:r w:rsidRPr="00B425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B54C9">
        <w:rPr>
          <w:rFonts w:ascii="Times New Roman" w:hAnsi="Times New Roman" w:cs="Times New Roman"/>
          <w:sz w:val="24"/>
          <w:szCs w:val="24"/>
          <w:lang w:eastAsia="ru-RU"/>
        </w:rPr>
        <w:t>4,5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процентов) и «Общегосударственные вопросы» (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54C9">
        <w:rPr>
          <w:rFonts w:ascii="Times New Roman" w:hAnsi="Times New Roman" w:cs="Times New Roman"/>
          <w:sz w:val="24"/>
          <w:szCs w:val="24"/>
          <w:lang w:eastAsia="ru-RU"/>
        </w:rPr>
        <w:t>46,7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процента)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 Анализ  исполнения  местного   бюджета  за 201</w:t>
      </w:r>
      <w:r w:rsidR="00CB54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F1242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CB54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9540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269"/>
        <w:gridCol w:w="1725"/>
        <w:gridCol w:w="1135"/>
        <w:gridCol w:w="948"/>
        <w:gridCol w:w="1269"/>
        <w:gridCol w:w="1149"/>
      </w:tblGrid>
      <w:tr w:rsidR="0049784C" w:rsidRPr="00B42520" w:rsidTr="00165CF7">
        <w:trPr>
          <w:trHeight w:val="187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B9540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общих расходах % </w:t>
            </w:r>
          </w:p>
        </w:tc>
      </w:tr>
      <w:tr w:rsidR="0049784C" w:rsidRPr="00B42520" w:rsidTr="00B9540A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B9540A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B42520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B42520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49784C" w:rsidRPr="00B42520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9784C" w:rsidRPr="00B42520" w:rsidTr="00B9540A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6F1A86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B42520" w:rsidTr="00B9540A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9784C" w:rsidRPr="00B42520" w:rsidTr="00B9540A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Культура, кинематография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49784C" w:rsidRPr="00B42520" w:rsidTr="00B9540A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B42520" w:rsidTr="00B9540A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CB54C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3D" w:rsidRPr="00B42520" w:rsidRDefault="00CB54C9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Default="00CB54C9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 Исполнение  расходов в соответствии с ведомственной структурой местного  бюджета 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B42520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proofErr w:type="spellStart"/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1A518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CB54C9" w:rsidRDefault="0049784C" w:rsidP="00CB54C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4C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</w:p>
    <w:p w:rsidR="0049784C" w:rsidRPr="00CB54C9" w:rsidRDefault="0049784C" w:rsidP="00CB54C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4C9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и подразделам функциональной классификации расходов</w:t>
      </w:r>
    </w:p>
    <w:p w:rsidR="0049784C" w:rsidRPr="00CB54C9" w:rsidRDefault="0049784C" w:rsidP="00CB54C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4C9">
        <w:rPr>
          <w:rFonts w:ascii="Times New Roman" w:hAnsi="Times New Roman" w:cs="Times New Roman"/>
          <w:b/>
          <w:sz w:val="24"/>
          <w:szCs w:val="24"/>
          <w:lang w:eastAsia="ru-RU"/>
        </w:rPr>
        <w:t>01  «Общегосударственные вопросы»</w:t>
      </w:r>
    </w:p>
    <w:p w:rsidR="0049784C" w:rsidRPr="00B42520" w:rsidRDefault="00B96A33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9784C" w:rsidRPr="00B4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="00CB54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784C" w:rsidRPr="00B4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B4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26A2" w:rsidRPr="00B4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41,7</w:t>
      </w:r>
      <w:r w:rsidR="0049784C" w:rsidRPr="00B4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1326A2" w:rsidRPr="00B4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614,2</w:t>
      </w:r>
      <w:r w:rsidR="0049784C" w:rsidRPr="00B4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01 «О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B42520" w:rsidRDefault="00B96A33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616"/>
        <w:gridCol w:w="569"/>
        <w:gridCol w:w="1371"/>
        <w:gridCol w:w="1487"/>
        <w:gridCol w:w="1457"/>
        <w:gridCol w:w="1462"/>
      </w:tblGrid>
      <w:tr w:rsidR="0049784C" w:rsidRPr="00B42520" w:rsidTr="001326A2"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9784C" w:rsidRPr="00B42520" w:rsidTr="001326A2">
        <w:trPr>
          <w:trHeight w:val="797"/>
        </w:trPr>
        <w:tc>
          <w:tcPr>
            <w:tcW w:w="1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1326A2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1326A2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1326A2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B42520" w:rsidTr="001326A2">
        <w:tc>
          <w:tcPr>
            <w:tcW w:w="1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326A2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B96A33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326A2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B42520" w:rsidTr="001326A2">
        <w:tc>
          <w:tcPr>
            <w:tcW w:w="136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B42520" w:rsidTr="001326A2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1326A2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1326A2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6A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49784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B42520" w:rsidRDefault="001326A2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B42520" w:rsidTr="001326A2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B96A33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B96A33" w:rsidP="00B96A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326A2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B42520" w:rsidTr="001326A2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B42520" w:rsidRDefault="001A518C" w:rsidP="00B425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Pr="00B42520" w:rsidRDefault="002320F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Pr="00B42520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лава муниципального образования - при плане 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исполнено 2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 к плану</w:t>
      </w:r>
      <w:r w:rsidR="0048449A" w:rsidRPr="00B42520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42520" w:rsidRDefault="002320F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>48,6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исполнено 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>48,3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2320FB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при плане</w:t>
      </w:r>
      <w:r w:rsidR="002320F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>48,6</w:t>
      </w:r>
      <w:r w:rsidR="002320F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исполнено </w:t>
      </w:r>
      <w:r w:rsidR="002320FB" w:rsidRPr="00B4252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>48,3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2320FB" w:rsidRPr="00B42520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плану; </w:t>
      </w:r>
      <w:r w:rsidR="002320FB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320FB" w:rsidRPr="00B42520" w:rsidRDefault="002320F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0107 «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проведения выборов и референдумов»- на проведение выборов 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A841D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>15,8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исполнено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 xml:space="preserve"> 15,8</w:t>
      </w:r>
      <w:r w:rsidR="0069017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E6E66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  <w:r w:rsidR="00B96A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6A33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B96A33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B96A3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B42520" w:rsidRDefault="00B96A33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составил 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 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326A2" w:rsidRPr="00B42520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B42520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 xml:space="preserve">            </w:t>
      </w:r>
      <w:bookmarkStart w:id="2" w:name="YANDEX_141"/>
      <w:bookmarkEnd w:id="2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                   </w:t>
      </w:r>
      <w:r w:rsidRPr="00A841D8">
        <w:rPr>
          <w:rFonts w:ascii="Times New Roman" w:hAnsi="Times New Roman" w:cs="Times New Roman"/>
          <w:b/>
          <w:sz w:val="24"/>
          <w:szCs w:val="24"/>
          <w:lang w:eastAsia="ru-RU"/>
        </w:rPr>
        <w:t>05 «Ж</w:t>
      </w:r>
      <w:r w:rsidR="00F44B1F" w:rsidRPr="00A841D8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ХОЗЯЙСТВО»</w:t>
      </w:r>
      <w:r w:rsidRPr="00A841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3E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>213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>213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8B62CC" w:rsidRPr="00B42520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 процента к плану.  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3EC"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050</w:t>
      </w:r>
      <w:r w:rsidR="003C6F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="009903EC"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«Жилищное хозяйство» 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>198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- 1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100 процентов от уточненного плана.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Денежные средства направлены на изготовление </w:t>
      </w:r>
      <w:r w:rsidR="0017344B">
        <w:rPr>
          <w:rFonts w:ascii="Times New Roman" w:hAnsi="Times New Roman" w:cs="Times New Roman"/>
          <w:sz w:val="24"/>
          <w:szCs w:val="24"/>
          <w:lang w:eastAsia="ru-RU"/>
        </w:rPr>
        <w:t>схемы территориального планирования.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0503 «Благоустройство»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24079F" w:rsidRPr="00B42520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24079F" w:rsidRPr="00B4252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-  содержание автомобильных дорог </w:t>
      </w:r>
      <w:r w:rsidR="0024079F" w:rsidRPr="00B42520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 (очистка дорог от снега). </w:t>
      </w:r>
    </w:p>
    <w:p w:rsidR="006E6E66" w:rsidRPr="00B42520" w:rsidRDefault="006E6E66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и содержание мест захоронения – 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3C6F9E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- прочие мероприяти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E6E66" w:rsidRPr="00B42520" w:rsidRDefault="003C6F9E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наказы избирателей -5 тыс. рублей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3C6F9E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     </w:t>
      </w:r>
      <w:r w:rsidR="003C6F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E6E66" w:rsidRPr="003C6F9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3C6F9E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="006E6E66" w:rsidRPr="003C6F9E">
        <w:rPr>
          <w:rFonts w:ascii="Times New Roman" w:hAnsi="Times New Roman" w:cs="Times New Roman"/>
          <w:b/>
          <w:sz w:val="24"/>
          <w:szCs w:val="24"/>
          <w:lang w:eastAsia="ru-RU"/>
        </w:rPr>
        <w:t>УЛЬТУРА</w:t>
      </w:r>
      <w:r w:rsidR="003C6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6E66" w:rsidRPr="003C6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КИНЕМАТОГРАФИЯ</w:t>
      </w:r>
      <w:r w:rsidR="00150CDB" w:rsidRPr="003C6F9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B42520" w:rsidRDefault="0017344B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По подразделу 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0801 «Культура»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юджетные ассигнования по данному разделу первоначально утверждены в сумме 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увеличены на 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38,5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руб. и составили 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43,6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 Исполнение составило </w:t>
      </w:r>
      <w:r w:rsidR="009903EC" w:rsidRPr="00B4252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43,5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proofErr w:type="gramStart"/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домов культуры составило </w:t>
      </w:r>
      <w:r w:rsidR="0017344B">
        <w:rPr>
          <w:rFonts w:ascii="Times New Roman" w:hAnsi="Times New Roman" w:cs="Times New Roman"/>
          <w:sz w:val="24"/>
          <w:szCs w:val="24"/>
          <w:lang w:eastAsia="ru-RU"/>
        </w:rPr>
        <w:t>129,1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В состав расходов входит заработная плата, начисления на заработную плату, коммунальные услуги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, услуги по содержанию имущества, прочие услуги, расходы на материальные запасы</w:t>
      </w:r>
      <w:proofErr w:type="gramStart"/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9784C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библиотек составило </w:t>
      </w:r>
      <w:r w:rsidR="0017344B">
        <w:rPr>
          <w:rFonts w:ascii="Times New Roman" w:hAnsi="Times New Roman" w:cs="Times New Roman"/>
          <w:sz w:val="24"/>
          <w:szCs w:val="24"/>
          <w:lang w:eastAsia="ru-RU"/>
        </w:rPr>
        <w:t>34,4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17344B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proofErr w:type="gramStart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42520">
        <w:rPr>
          <w:rFonts w:ascii="Times New Roman" w:hAnsi="Times New Roman" w:cs="Times New Roman"/>
          <w:sz w:val="24"/>
          <w:szCs w:val="24"/>
          <w:lang w:eastAsia="ru-RU"/>
        </w:rPr>
        <w:t>это расходы на заработную плату и начисления</w:t>
      </w:r>
      <w:r w:rsidR="006E6E66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340D" w:rsidRPr="00B42520" w:rsidRDefault="001D155D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0340D">
        <w:rPr>
          <w:rFonts w:ascii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профинансировано 280 тыс. рублей. В представленных приложениях к решению данная операция не  нашла отражения.</w:t>
      </w:r>
    </w:p>
    <w:p w:rsidR="009D7726" w:rsidRPr="00C17919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919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Выводы</w:t>
      </w:r>
      <w:r w:rsidR="00A5351D" w:rsidRPr="00C1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51D" w:rsidRPr="00C1791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A5351D" w:rsidRPr="00C1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726" w:rsidRPr="00C1791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351D" w:rsidRPr="00B42520" w:rsidRDefault="003B5AFF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42520">
        <w:rPr>
          <w:rFonts w:ascii="Times New Roman" w:hAnsi="Times New Roman" w:cs="Times New Roman"/>
          <w:sz w:val="24"/>
          <w:szCs w:val="24"/>
        </w:rPr>
        <w:t>1.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. Произведенная </w:t>
      </w:r>
      <w:bookmarkStart w:id="3" w:name="YANDEX_114"/>
      <w:bookmarkEnd w:id="3"/>
      <w:r w:rsidR="00A5351D" w:rsidRPr="00B42520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115"/>
      <w:bookmarkEnd w:id="4"/>
      <w:r w:rsidR="00A5351D" w:rsidRPr="00B42520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116"/>
      <w:bookmarkEnd w:id="5"/>
      <w:r w:rsidR="00A5351D" w:rsidRPr="00B42520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YANDEX_117"/>
      <w:bookmarkEnd w:id="6"/>
      <w:r w:rsidR="00A5351D" w:rsidRPr="00B42520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="00A5351D"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YANDEX_118"/>
      <w:bookmarkEnd w:id="7"/>
      <w:r w:rsidR="00A5351D" w:rsidRPr="00B42520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119"/>
      <w:bookmarkEnd w:id="8"/>
      <w:r w:rsidR="00A5351D" w:rsidRPr="00B42520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9" w:name="YANDEX_120"/>
      <w:bookmarkEnd w:id="9"/>
      <w:r w:rsidR="00A5351D" w:rsidRPr="00B42520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201</w:t>
      </w:r>
      <w:r w:rsidR="00E219A4">
        <w:rPr>
          <w:rFonts w:ascii="Times New Roman" w:hAnsi="Times New Roman" w:cs="Times New Roman"/>
          <w:sz w:val="24"/>
          <w:szCs w:val="24"/>
        </w:rPr>
        <w:t>2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B42520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B42520">
        <w:rPr>
          <w:rFonts w:ascii="Times New Roman" w:hAnsi="Times New Roman" w:cs="Times New Roman"/>
          <w:sz w:val="24"/>
          <w:szCs w:val="24"/>
        </w:rPr>
        <w:t>ого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B42520">
        <w:rPr>
          <w:rFonts w:ascii="Times New Roman" w:hAnsi="Times New Roman" w:cs="Times New Roman"/>
          <w:sz w:val="24"/>
          <w:szCs w:val="24"/>
        </w:rPr>
        <w:t>а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РФ</w:t>
      </w:r>
      <w:r w:rsidRPr="00B42520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B42520">
        <w:rPr>
          <w:rFonts w:ascii="Times New Roman" w:hAnsi="Times New Roman" w:cs="Times New Roman"/>
          <w:sz w:val="24"/>
          <w:szCs w:val="24"/>
        </w:rPr>
        <w:t>х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B42520">
        <w:rPr>
          <w:rFonts w:ascii="Times New Roman" w:hAnsi="Times New Roman" w:cs="Times New Roman"/>
          <w:sz w:val="24"/>
          <w:szCs w:val="24"/>
        </w:rPr>
        <w:t>х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акт</w:t>
      </w:r>
      <w:r w:rsidRPr="00B42520">
        <w:rPr>
          <w:rFonts w:ascii="Times New Roman" w:hAnsi="Times New Roman" w:cs="Times New Roman"/>
          <w:sz w:val="24"/>
          <w:szCs w:val="24"/>
        </w:rPr>
        <w:t>ов</w:t>
      </w:r>
      <w:r w:rsidR="00A5351D" w:rsidRPr="00B42520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B42520">
        <w:rPr>
          <w:rFonts w:ascii="Times New Roman" w:hAnsi="Times New Roman" w:cs="Times New Roman"/>
          <w:sz w:val="24"/>
          <w:szCs w:val="24"/>
        </w:rPr>
        <w:t>х</w:t>
      </w:r>
      <w:r w:rsidR="00A5351D" w:rsidRPr="00B42520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A5351D" w:rsidRPr="00B42520" w:rsidRDefault="00A5351D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4252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0" w:name="YANDEX_121"/>
      <w:bookmarkEnd w:id="10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YANDEX_122"/>
      <w:bookmarkEnd w:id="11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B42520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YANDEX_123"/>
      <w:bookmarkEnd w:id="12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B42520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Pr="00B42520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B42520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B42520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9D7726" w:rsidRPr="00B42520">
        <w:rPr>
          <w:rFonts w:ascii="Times New Roman" w:hAnsi="Times New Roman" w:cs="Times New Roman"/>
          <w:sz w:val="24"/>
          <w:szCs w:val="24"/>
        </w:rPr>
        <w:t>и</w:t>
      </w:r>
      <w:r w:rsidRPr="00B42520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13" w:name="YANDEX_124"/>
      <w:bookmarkEnd w:id="13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B425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42520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14" w:name="YANDEX_125"/>
      <w:bookmarkEnd w:id="14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YANDEX_126"/>
      <w:bookmarkEnd w:id="15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YANDEX_127"/>
      <w:bookmarkEnd w:id="16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B42520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Pr="00B42520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B42520">
        <w:rPr>
          <w:rFonts w:ascii="Times New Roman" w:hAnsi="Times New Roman" w:cs="Times New Roman"/>
          <w:sz w:val="24"/>
          <w:szCs w:val="24"/>
        </w:rPr>
        <w:t>91</w:t>
      </w:r>
      <w:r w:rsidRPr="00B42520">
        <w:rPr>
          <w:rFonts w:ascii="Times New Roman" w:hAnsi="Times New Roman" w:cs="Times New Roman"/>
          <w:sz w:val="24"/>
          <w:szCs w:val="24"/>
        </w:rPr>
        <w:t>н,</w:t>
      </w:r>
      <w:r w:rsidR="009D7726" w:rsidRPr="00B42520">
        <w:rPr>
          <w:rFonts w:ascii="Times New Roman" w:hAnsi="Times New Roman" w:cs="Times New Roman"/>
          <w:sz w:val="24"/>
          <w:szCs w:val="24"/>
        </w:rPr>
        <w:t xml:space="preserve"> допущены неточности при заполнении форм бухгалтерской отчетности</w:t>
      </w:r>
      <w:r w:rsidRPr="00B42520">
        <w:rPr>
          <w:rFonts w:ascii="Times New Roman" w:hAnsi="Times New Roman" w:cs="Times New Roman"/>
          <w:sz w:val="24"/>
          <w:szCs w:val="24"/>
        </w:rPr>
        <w:t>.</w:t>
      </w:r>
    </w:p>
    <w:p w:rsidR="00A5351D" w:rsidRPr="00B42520" w:rsidRDefault="00A5351D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42520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17" w:name="YANDEX_128"/>
      <w:bookmarkEnd w:id="17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YANDEX_129"/>
      <w:bookmarkEnd w:id="18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YANDEX_130"/>
      <w:bookmarkEnd w:id="19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YANDEX_131"/>
      <w:bookmarkEnd w:id="20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Pr="00B42520">
        <w:rPr>
          <w:rFonts w:ascii="Times New Roman" w:hAnsi="Times New Roman" w:cs="Times New Roman"/>
          <w:sz w:val="24"/>
          <w:szCs w:val="24"/>
        </w:rPr>
        <w:t xml:space="preserve">  </w:t>
      </w:r>
      <w:bookmarkStart w:id="21" w:name="YANDEX_132"/>
      <w:bookmarkEnd w:id="21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133"/>
      <w:bookmarkEnd w:id="22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в 2011 году может быть вынесен на заседание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</w:rPr>
        <w:t>Муравльского</w:t>
      </w:r>
      <w:proofErr w:type="spellEnd"/>
      <w:r w:rsidRPr="00B42520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bookmarkStart w:id="23" w:name="YANDEX_134"/>
      <w:bookmarkStart w:id="24" w:name="YANDEX_135"/>
      <w:bookmarkEnd w:id="23"/>
      <w:bookmarkEnd w:id="24"/>
      <w:r w:rsidRPr="00B42520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B42520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B42520">
        <w:rPr>
          <w:rFonts w:ascii="Times New Roman" w:hAnsi="Times New Roman" w:cs="Times New Roman"/>
          <w:sz w:val="24"/>
          <w:szCs w:val="24"/>
        </w:rPr>
        <w:t xml:space="preserve"> с учетом доработ</w:t>
      </w:r>
      <w:r w:rsidR="00C17919">
        <w:rPr>
          <w:rFonts w:ascii="Times New Roman" w:hAnsi="Times New Roman" w:cs="Times New Roman"/>
          <w:sz w:val="24"/>
          <w:szCs w:val="24"/>
        </w:rPr>
        <w:t>ки проекта  решения и приложений к проекту решения.</w:t>
      </w:r>
    </w:p>
    <w:p w:rsidR="0049784C" w:rsidRPr="00C17919" w:rsidRDefault="0049784C" w:rsidP="00B4252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            </w:t>
      </w:r>
      <w:r w:rsidRPr="00C179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Предложения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Администрации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48449A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25" w:name="YANDEX_192"/>
      <w:bookmarkStart w:id="26" w:name="YANDEX_193"/>
      <w:bookmarkEnd w:id="25"/>
      <w:bookmarkEnd w:id="26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27" w:name="YANDEX_194"/>
      <w:bookmarkEnd w:id="27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28" w:name="YANDEX_195"/>
      <w:bookmarkEnd w:id="28"/>
      <w:r w:rsidRPr="00B42520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3B5AFF" w:rsidRPr="00B425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B42520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29" w:name="YANDEX_196"/>
      <w:bookmarkEnd w:id="29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D7726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0" w:name="YANDEX_197"/>
      <w:bookmarkStart w:id="31" w:name="YANDEX_198"/>
      <w:bookmarkEnd w:id="30"/>
      <w:bookmarkEnd w:id="31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="009D7726" w:rsidRPr="00B42520">
        <w:rPr>
          <w:rFonts w:ascii="Times New Roman" w:hAnsi="Times New Roman" w:cs="Times New Roman"/>
          <w:sz w:val="24"/>
          <w:szCs w:val="24"/>
          <w:lang w:eastAsia="ru-RU"/>
        </w:rPr>
        <w:t>Внести дополнения и изменения в Положение о бюджетном процессе</w:t>
      </w:r>
      <w:bookmarkStart w:id="32" w:name="YANDEX_199"/>
      <w:bookmarkStart w:id="33" w:name="YANDEX_200"/>
      <w:bookmarkStart w:id="34" w:name="YANDEX_201"/>
      <w:bookmarkStart w:id="35" w:name="YANDEX_202"/>
      <w:bookmarkEnd w:id="32"/>
      <w:bookmarkEnd w:id="33"/>
      <w:bookmarkEnd w:id="34"/>
      <w:bookmarkEnd w:id="35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B42520" w:rsidRDefault="003B5AFF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со ст. 185 БК РФ  проект решения о </w:t>
      </w:r>
      <w:bookmarkStart w:id="36" w:name="YANDEX_206"/>
      <w:bookmarkEnd w:id="36"/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B42520" w:rsidRDefault="003B5AFF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>4. Подготовить проект  решения об исполнении бюджета согласно требований Бюджетного кодекса РФ</w:t>
      </w:r>
      <w:r w:rsidR="00C17919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рекомендаций Контрольно-ревизионной комиссии</w:t>
      </w:r>
      <w:proofErr w:type="gramStart"/>
      <w:r w:rsidR="00C179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5. Устранить замечания по </w:t>
      </w:r>
      <w:bookmarkStart w:id="37" w:name="YANDEX_207"/>
      <w:bookmarkEnd w:id="37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годовой  бюджетной отчетности администрации </w:t>
      </w:r>
      <w:r w:rsidR="00933443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33443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8" w:name="YANDEX_208"/>
      <w:bookmarkStart w:id="39" w:name="YANDEX_209"/>
      <w:bookmarkEnd w:id="38"/>
      <w:bookmarkEnd w:id="39"/>
      <w:r w:rsidR="00933443" w:rsidRPr="00B425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5CF7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Контрольно-ревизионной комиссии </w:t>
      </w:r>
    </w:p>
    <w:p w:rsidR="0049784C" w:rsidRPr="00B42520" w:rsidRDefault="009F1242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4252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B4252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B42520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C17919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Один экземпляр получил Председатель </w:t>
      </w:r>
      <w:proofErr w:type="spellStart"/>
      <w:r w:rsidR="00165CF7" w:rsidRPr="00B42520">
        <w:rPr>
          <w:rFonts w:ascii="Times New Roman" w:hAnsi="Times New Roman" w:cs="Times New Roman"/>
          <w:sz w:val="24"/>
          <w:szCs w:val="24"/>
          <w:lang w:eastAsia="ru-RU"/>
        </w:rPr>
        <w:t>Муравльского</w:t>
      </w:r>
      <w:proofErr w:type="spellEnd"/>
      <w:r w:rsidR="009F1242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B42520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40" w:name="YANDEX_210"/>
      <w:bookmarkStart w:id="41" w:name="YANDEX_211"/>
      <w:bookmarkEnd w:id="40"/>
      <w:bookmarkEnd w:id="41"/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B42520" w:rsidRDefault="0049784C" w:rsidP="00B425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42520">
        <w:rPr>
          <w:rFonts w:ascii="Times New Roman" w:hAnsi="Times New Roman" w:cs="Times New Roman"/>
          <w:sz w:val="24"/>
          <w:szCs w:val="24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sectPr w:rsidR="009F1242" w:rsidRPr="00B42520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54F36"/>
    <w:rsid w:val="000562AD"/>
    <w:rsid w:val="00062622"/>
    <w:rsid w:val="000664E0"/>
    <w:rsid w:val="00067FB8"/>
    <w:rsid w:val="00091A40"/>
    <w:rsid w:val="000B23E4"/>
    <w:rsid w:val="000B48EC"/>
    <w:rsid w:val="000F6ECC"/>
    <w:rsid w:val="00117F36"/>
    <w:rsid w:val="001326A2"/>
    <w:rsid w:val="00150CDB"/>
    <w:rsid w:val="00155E71"/>
    <w:rsid w:val="0016402F"/>
    <w:rsid w:val="00165CF7"/>
    <w:rsid w:val="00170EF0"/>
    <w:rsid w:val="0017344B"/>
    <w:rsid w:val="001835D0"/>
    <w:rsid w:val="0018457F"/>
    <w:rsid w:val="001849C8"/>
    <w:rsid w:val="001A518C"/>
    <w:rsid w:val="001B211E"/>
    <w:rsid w:val="001D155D"/>
    <w:rsid w:val="001E5FFF"/>
    <w:rsid w:val="002320FB"/>
    <w:rsid w:val="0024079F"/>
    <w:rsid w:val="002512ED"/>
    <w:rsid w:val="0027246B"/>
    <w:rsid w:val="002801E3"/>
    <w:rsid w:val="00283723"/>
    <w:rsid w:val="002D229C"/>
    <w:rsid w:val="002E4F6E"/>
    <w:rsid w:val="002F10AB"/>
    <w:rsid w:val="003257B3"/>
    <w:rsid w:val="00330CD8"/>
    <w:rsid w:val="00372789"/>
    <w:rsid w:val="00381C3D"/>
    <w:rsid w:val="003A0A51"/>
    <w:rsid w:val="003A4AB9"/>
    <w:rsid w:val="003B109A"/>
    <w:rsid w:val="003B5AFF"/>
    <w:rsid w:val="003C6F9E"/>
    <w:rsid w:val="003E6538"/>
    <w:rsid w:val="00405A4D"/>
    <w:rsid w:val="004062FA"/>
    <w:rsid w:val="00407C02"/>
    <w:rsid w:val="00411E5E"/>
    <w:rsid w:val="00412733"/>
    <w:rsid w:val="0043217E"/>
    <w:rsid w:val="00440A3F"/>
    <w:rsid w:val="0048449A"/>
    <w:rsid w:val="0049784C"/>
    <w:rsid w:val="004A2623"/>
    <w:rsid w:val="004A636A"/>
    <w:rsid w:val="004B7521"/>
    <w:rsid w:val="004C53CB"/>
    <w:rsid w:val="004D4AF0"/>
    <w:rsid w:val="005047A9"/>
    <w:rsid w:val="00524881"/>
    <w:rsid w:val="00581EC2"/>
    <w:rsid w:val="0059771D"/>
    <w:rsid w:val="00597FD8"/>
    <w:rsid w:val="005A1AB2"/>
    <w:rsid w:val="005B2447"/>
    <w:rsid w:val="005C7EE9"/>
    <w:rsid w:val="005E67B0"/>
    <w:rsid w:val="005F0EED"/>
    <w:rsid w:val="0062690D"/>
    <w:rsid w:val="00631DE0"/>
    <w:rsid w:val="006825C6"/>
    <w:rsid w:val="00682610"/>
    <w:rsid w:val="0069017C"/>
    <w:rsid w:val="006A7C02"/>
    <w:rsid w:val="006E3CE3"/>
    <w:rsid w:val="006E6E66"/>
    <w:rsid w:val="006F1A86"/>
    <w:rsid w:val="00717149"/>
    <w:rsid w:val="007E6254"/>
    <w:rsid w:val="00804DF9"/>
    <w:rsid w:val="008142CB"/>
    <w:rsid w:val="008267FE"/>
    <w:rsid w:val="00834368"/>
    <w:rsid w:val="00871D6B"/>
    <w:rsid w:val="008829C5"/>
    <w:rsid w:val="008A373E"/>
    <w:rsid w:val="008B62CC"/>
    <w:rsid w:val="008C6A42"/>
    <w:rsid w:val="009301A1"/>
    <w:rsid w:val="00931F2E"/>
    <w:rsid w:val="00933443"/>
    <w:rsid w:val="00933702"/>
    <w:rsid w:val="009727D5"/>
    <w:rsid w:val="0098339C"/>
    <w:rsid w:val="009903EC"/>
    <w:rsid w:val="009B117C"/>
    <w:rsid w:val="009B1AB9"/>
    <w:rsid w:val="009B4285"/>
    <w:rsid w:val="009B7330"/>
    <w:rsid w:val="009D6488"/>
    <w:rsid w:val="009D7726"/>
    <w:rsid w:val="009E1829"/>
    <w:rsid w:val="009E63B4"/>
    <w:rsid w:val="009F1242"/>
    <w:rsid w:val="00A03F3D"/>
    <w:rsid w:val="00A2599F"/>
    <w:rsid w:val="00A321EA"/>
    <w:rsid w:val="00A5351D"/>
    <w:rsid w:val="00A7303B"/>
    <w:rsid w:val="00A777ED"/>
    <w:rsid w:val="00A841D8"/>
    <w:rsid w:val="00A84A89"/>
    <w:rsid w:val="00AB213E"/>
    <w:rsid w:val="00AC6296"/>
    <w:rsid w:val="00B10054"/>
    <w:rsid w:val="00B42520"/>
    <w:rsid w:val="00B73518"/>
    <w:rsid w:val="00B814D1"/>
    <w:rsid w:val="00B9540A"/>
    <w:rsid w:val="00B9630D"/>
    <w:rsid w:val="00B96A33"/>
    <w:rsid w:val="00C17919"/>
    <w:rsid w:val="00C210B8"/>
    <w:rsid w:val="00C35810"/>
    <w:rsid w:val="00CB54C9"/>
    <w:rsid w:val="00CB631B"/>
    <w:rsid w:val="00CC006B"/>
    <w:rsid w:val="00CD012E"/>
    <w:rsid w:val="00CF7224"/>
    <w:rsid w:val="00D0340D"/>
    <w:rsid w:val="00D2028C"/>
    <w:rsid w:val="00D265D3"/>
    <w:rsid w:val="00D32CC4"/>
    <w:rsid w:val="00D61F55"/>
    <w:rsid w:val="00D827B1"/>
    <w:rsid w:val="00D86E41"/>
    <w:rsid w:val="00D87A28"/>
    <w:rsid w:val="00D93511"/>
    <w:rsid w:val="00DD3384"/>
    <w:rsid w:val="00DE0BD8"/>
    <w:rsid w:val="00DE21E1"/>
    <w:rsid w:val="00E0404F"/>
    <w:rsid w:val="00E1063F"/>
    <w:rsid w:val="00E219A4"/>
    <w:rsid w:val="00E60B38"/>
    <w:rsid w:val="00EB269A"/>
    <w:rsid w:val="00EC0B5A"/>
    <w:rsid w:val="00ED42B1"/>
    <w:rsid w:val="00F32E0D"/>
    <w:rsid w:val="00F44B1F"/>
    <w:rsid w:val="00F55E9A"/>
    <w:rsid w:val="00F73A2D"/>
    <w:rsid w:val="00F84215"/>
    <w:rsid w:val="00FB3008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42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132C-4F35-4F91-A787-A26534FD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8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2013-05-31T07:45:00Z</cp:lastPrinted>
  <dcterms:created xsi:type="dcterms:W3CDTF">2012-02-02T08:08:00Z</dcterms:created>
  <dcterms:modified xsi:type="dcterms:W3CDTF">2013-06-03T06:38:00Z</dcterms:modified>
</cp:coreProperties>
</file>